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C7" w:rsidRPr="00C70F2A" w:rsidRDefault="00771FC7" w:rsidP="00771FC7">
      <w:pPr>
        <w:pStyle w:val="Encabezado"/>
        <w:tabs>
          <w:tab w:val="left" w:pos="3420"/>
          <w:tab w:val="right" w:pos="9000"/>
        </w:tabs>
        <w:jc w:val="left"/>
        <w:rPr>
          <w:rFonts w:ascii="Verdana" w:hAnsi="Verdana"/>
          <w:color w:val="333333"/>
          <w:sz w:val="20"/>
          <w:lang w:val="en-GB"/>
        </w:rPr>
      </w:pPr>
    </w:p>
    <w:p w:rsidR="00771FC7" w:rsidRPr="00C70F2A" w:rsidRDefault="00771FC7" w:rsidP="00771FC7">
      <w:pPr>
        <w:pStyle w:val="DocumentTitle"/>
        <w:rPr>
          <w:lang w:val="en-GB"/>
        </w:rPr>
      </w:pPr>
      <w:r w:rsidRPr="00C70F2A">
        <w:rPr>
          <w:lang w:val="en-GB"/>
        </w:rPr>
        <w:t>D1.1 – Survey on standardized e-Document formats</w:t>
      </w:r>
    </w:p>
    <w:p w:rsidR="00771FC7" w:rsidRPr="00C70F2A" w:rsidRDefault="00771FC7" w:rsidP="00771FC7">
      <w:pPr>
        <w:pStyle w:val="DocumentSubtitle"/>
      </w:pPr>
      <w:r w:rsidRPr="00C70F2A">
        <w:rPr>
          <w:b/>
          <w:i w:val="0"/>
          <w:sz w:val="28"/>
          <w:szCs w:val="20"/>
        </w:rPr>
        <w:t>Analysis of structured e-Document formats used in Trans-European Systems</w:t>
      </w:r>
    </w:p>
    <w:p w:rsidR="00771FC7" w:rsidRDefault="00771FC7" w:rsidP="00771FC7">
      <w:pPr>
        <w:pStyle w:val="Ttulo2"/>
      </w:pPr>
      <w:bookmarkStart w:id="0" w:name="_Toc251840289"/>
      <w:bookmarkStart w:id="1" w:name="_Toc378110531"/>
      <w:bookmarkStart w:id="2" w:name="_Toc378542078"/>
    </w:p>
    <w:p w:rsidR="00771FC7" w:rsidRDefault="00771FC7" w:rsidP="00771FC7">
      <w:pPr>
        <w:pStyle w:val="Ttulo2"/>
      </w:pPr>
    </w:p>
    <w:p w:rsidR="00771FC7" w:rsidRPr="00C70F2A" w:rsidRDefault="00771FC7" w:rsidP="00771FC7">
      <w:pPr>
        <w:pStyle w:val="Ttulo2"/>
      </w:pPr>
      <w:r w:rsidRPr="00C70F2A">
        <w:t xml:space="preserve">Financial Reporting based on XBRL used by the </w:t>
      </w:r>
      <w:r>
        <w:t xml:space="preserve">European Banking </w:t>
      </w:r>
      <w:r w:rsidRPr="00C70F2A">
        <w:t>Authority</w:t>
      </w:r>
      <w:bookmarkEnd w:id="0"/>
      <w:bookmarkEnd w:id="1"/>
      <w:r>
        <w:t xml:space="preserve"> (EBA)</w:t>
      </w:r>
      <w:bookmarkEnd w:id="2"/>
      <w:r>
        <w:t xml:space="preserve"> and the </w:t>
      </w:r>
      <w:r w:rsidRPr="002632FF">
        <w:t>European Insurance and Occupational Pensions Authority</w:t>
      </w:r>
      <w:r>
        <w:t xml:space="preserve"> (EIOPA) and proposed by XBRL Europe</w:t>
      </w:r>
    </w:p>
    <w:p w:rsidR="00771FC7" w:rsidRPr="00C70F2A" w:rsidRDefault="00771FC7" w:rsidP="00771FC7">
      <w:pPr>
        <w:pStyle w:val="Ttulo3"/>
      </w:pPr>
      <w:r w:rsidRPr="00C70F2A">
        <w:t>Context</w:t>
      </w:r>
    </w:p>
    <w:p w:rsidR="00771FC7" w:rsidRDefault="00771FC7" w:rsidP="00771FC7">
      <w:pPr>
        <w:pStyle w:val="Body"/>
      </w:pPr>
      <w:r w:rsidRPr="00F115EB">
        <w:t>The European Banking Authority (formerly Committee o</w:t>
      </w:r>
      <w:r>
        <w:t>f European Banking Supervisors), t</w:t>
      </w:r>
      <w:r w:rsidRPr="002325F9">
        <w:t>he European Insurance and Occupational Pensions Authority (EIOPA)</w:t>
      </w:r>
      <w:r>
        <w:t xml:space="preserve"> and XBRL Europe maintain four specifications for financial reporting:</w:t>
      </w:r>
    </w:p>
    <w:p w:rsidR="00771FC7" w:rsidRDefault="00771FC7" w:rsidP="00771FC7">
      <w:pPr>
        <w:pStyle w:val="Body"/>
        <w:numPr>
          <w:ilvl w:val="0"/>
          <w:numId w:val="10"/>
        </w:numPr>
      </w:pPr>
      <w:r w:rsidRPr="00CE4C3F">
        <w:rPr>
          <w:b/>
        </w:rPr>
        <w:t>COREP</w:t>
      </w:r>
      <w:r>
        <w:t xml:space="preserve">: The European Banking Authority (EBA) Common Reporting Framework (COREP) is the common </w:t>
      </w:r>
      <w:r w:rsidRPr="00CE4C3F">
        <w:rPr>
          <w:b/>
        </w:rPr>
        <w:t>solvency ratio reporting framework</w:t>
      </w:r>
      <w:r>
        <w:t xml:space="preserve"> </w:t>
      </w:r>
      <w:r w:rsidRPr="00CE4C3F">
        <w:rPr>
          <w:b/>
        </w:rPr>
        <w:t>for credit institutions and investment firms</w:t>
      </w:r>
      <w:r>
        <w:t xml:space="preserve"> under EU capital requirements regime </w:t>
      </w:r>
      <w:sdt>
        <w:sdtPr>
          <w:id w:val="1436783201"/>
          <w:citation/>
        </w:sdtPr>
        <w:sdtContent>
          <w:fldSimple w:instr=" CITATION Eur101 \l 2057 ">
            <w:r>
              <w:rPr>
                <w:noProof/>
              </w:rPr>
              <w:t>(Eurofiling Initiative, 2010)</w:t>
            </w:r>
          </w:fldSimple>
        </w:sdtContent>
      </w:sdt>
      <w:r>
        <w:t xml:space="preserve">. The COREP Framework is based initially on </w:t>
      </w:r>
      <w:proofErr w:type="spellStart"/>
      <w:r w:rsidRPr="00DE7E48">
        <w:t>Recasted</w:t>
      </w:r>
      <w:proofErr w:type="spellEnd"/>
      <w:r w:rsidRPr="00DE7E48">
        <w:t xml:space="preserve"> European Directives 2000/12/CE and 93/6/EEC released in July 2004 </w:t>
      </w:r>
      <w:sdt>
        <w:sdtPr>
          <w:id w:val="2036845379"/>
          <w:citation/>
        </w:sdtPr>
        <w:sdtContent>
          <w:fldSimple w:instr=" CITATION COR05 \l 2057  ">
            <w:r>
              <w:rPr>
                <w:noProof/>
              </w:rPr>
              <w:t>(COREP, 2006)</w:t>
            </w:r>
          </w:fldSimple>
        </w:sdtContent>
      </w:sdt>
      <w:r>
        <w:t xml:space="preserve"> and currently </w:t>
      </w:r>
      <w:r w:rsidRPr="00E570CD">
        <w:t xml:space="preserve">in accordance with Regulation (EU) No 575/2013 of the European Parliament and of the Council of 26 June 2013 on prudential requirements for credit institutions and investment firms and amending Regulation (EU) No 648/2012 </w:t>
      </w:r>
      <w:sdt>
        <w:sdtPr>
          <w:id w:val="38387861"/>
          <w:citation/>
        </w:sdtPr>
        <w:sdtContent>
          <w:r>
            <w:fldChar w:fldCharType="begin"/>
          </w:r>
          <w:r>
            <w:rPr>
              <w:lang w:val="es-ES_tradnl"/>
            </w:rPr>
            <w:instrText xml:space="preserve"> CITATION EBA131 \l 1034 </w:instrText>
          </w:r>
          <w:r>
            <w:fldChar w:fldCharType="separate"/>
          </w:r>
          <w:r>
            <w:rPr>
              <w:noProof/>
              <w:lang w:val="es-ES_tradnl"/>
            </w:rPr>
            <w:t>(EBA, 2013)</w:t>
          </w:r>
          <w:r>
            <w:fldChar w:fldCharType="end"/>
          </w:r>
        </w:sdtContent>
      </w:sdt>
      <w:r>
        <w:t xml:space="preserve">. </w:t>
      </w:r>
    </w:p>
    <w:p w:rsidR="00771FC7" w:rsidRDefault="00771FC7" w:rsidP="00771FC7">
      <w:pPr>
        <w:pStyle w:val="Body"/>
        <w:numPr>
          <w:ilvl w:val="0"/>
          <w:numId w:val="10"/>
        </w:numPr>
      </w:pPr>
      <w:r w:rsidRPr="00BF63DE">
        <w:rPr>
          <w:b/>
        </w:rPr>
        <w:t>FINREP</w:t>
      </w:r>
      <w:r w:rsidRPr="00BF7819">
        <w:t>:</w:t>
      </w:r>
      <w:r>
        <w:t xml:space="preserve"> The European Banking Authority (EBA) Financial Rep</w:t>
      </w:r>
      <w:r w:rsidRPr="00BF7819">
        <w:t>orting</w:t>
      </w:r>
      <w:r>
        <w:t xml:space="preserve"> Framework (FINREP)</w:t>
      </w:r>
      <w:r w:rsidRPr="00BF7819">
        <w:t xml:space="preserve"> is designed for </w:t>
      </w:r>
      <w:r w:rsidRPr="00BF63DE">
        <w:rPr>
          <w:b/>
        </w:rPr>
        <w:t>credit institutions</w:t>
      </w:r>
      <w:r w:rsidRPr="00BF7819">
        <w:t xml:space="preserve"> that use IAS/IFRS for their published </w:t>
      </w:r>
      <w:r w:rsidRPr="00BF63DE">
        <w:rPr>
          <w:b/>
        </w:rPr>
        <w:t>financial statements</w:t>
      </w:r>
      <w:r w:rsidRPr="00BF7819">
        <w:t xml:space="preserve"> and that have to provide similar information in the periodic prudential reports they are required to submit to their supervisory authorities</w:t>
      </w:r>
      <w:r>
        <w:t xml:space="preserve"> </w:t>
      </w:r>
      <w:sdt>
        <w:sdtPr>
          <w:id w:val="1591659315"/>
          <w:citation/>
        </w:sdtPr>
        <w:sdtContent>
          <w:fldSimple w:instr=" CITATION Eur09 \l 2057 ">
            <w:r>
              <w:rPr>
                <w:noProof/>
              </w:rPr>
              <w:t>(Eurofiling Initiative, 2009)</w:t>
            </w:r>
          </w:fldSimple>
        </w:sdtContent>
      </w:sdt>
      <w:r>
        <w:t xml:space="preserve">. FINREP is designed in compliance with the international financial reporting standards (IAS/IFRS) or the Capital Requirements Directive 2006/48/EC </w:t>
      </w:r>
      <w:sdt>
        <w:sdtPr>
          <w:id w:val="976494260"/>
          <w:citation/>
        </w:sdtPr>
        <w:sdtContent>
          <w:fldSimple w:instr=" CITATION FSM14 \l 2057  ">
            <w:r>
              <w:rPr>
                <w:noProof/>
              </w:rPr>
              <w:t>(FINREP, 2005)</w:t>
            </w:r>
          </w:fldSimple>
        </w:sdtContent>
      </w:sdt>
      <w:r w:rsidRPr="009704D0">
        <w:t xml:space="preserve"> </w:t>
      </w:r>
      <w:r>
        <w:t xml:space="preserve">and currently </w:t>
      </w:r>
      <w:r w:rsidRPr="00E570CD">
        <w:t xml:space="preserve">in accordance with Regulation (EU) No 575/2013 of the European Parliament and of the Council of 26 June 2013 on prudential requirements for credit institutions and investment firms and amending Regulation (EU) No 648/2012 </w:t>
      </w:r>
      <w:sdt>
        <w:sdtPr>
          <w:id w:val="38387865"/>
          <w:citation/>
        </w:sdtPr>
        <w:sdtContent>
          <w:r>
            <w:fldChar w:fldCharType="begin"/>
          </w:r>
          <w:r>
            <w:rPr>
              <w:lang w:val="es-ES_tradnl"/>
            </w:rPr>
            <w:instrText xml:space="preserve"> CITATION EBA131 \l 1034 </w:instrText>
          </w:r>
          <w:r>
            <w:fldChar w:fldCharType="separate"/>
          </w:r>
          <w:r>
            <w:rPr>
              <w:noProof/>
              <w:lang w:val="es-ES_tradnl"/>
            </w:rPr>
            <w:t>(EBA, 2013)</w:t>
          </w:r>
          <w:r>
            <w:fldChar w:fldCharType="end"/>
          </w:r>
        </w:sdtContent>
      </w:sdt>
    </w:p>
    <w:p w:rsidR="00771FC7" w:rsidRPr="00D53E7A" w:rsidRDefault="00771FC7" w:rsidP="00771FC7">
      <w:pPr>
        <w:pStyle w:val="Body"/>
        <w:numPr>
          <w:ilvl w:val="0"/>
          <w:numId w:val="10"/>
        </w:numPr>
      </w:pPr>
      <w:r w:rsidRPr="004F19F0">
        <w:rPr>
          <w:b/>
        </w:rPr>
        <w:t>Solvency II</w:t>
      </w:r>
      <w:r w:rsidRPr="002325F9">
        <w:t>:</w:t>
      </w:r>
      <w:r>
        <w:t xml:space="preserve"> </w:t>
      </w:r>
      <w:r w:rsidRPr="00D53E7A">
        <w:t>Solvency II is a project by EIOPA concerning the establishment of the European insurance a</w:t>
      </w:r>
      <w:r>
        <w:t xml:space="preserve">nd reinsurance undertakings </w:t>
      </w:r>
      <w:sdt>
        <w:sdtPr>
          <w:id w:val="38387866"/>
          <w:citation/>
        </w:sdtPr>
        <w:sdtContent>
          <w:r>
            <w:fldChar w:fldCharType="begin"/>
          </w:r>
          <w:r>
            <w:rPr>
              <w:lang w:val="es-ES_tradnl"/>
            </w:rPr>
            <w:instrText xml:space="preserve"> CITATION EIO16 \l 1034 </w:instrText>
          </w:r>
          <w:r>
            <w:fldChar w:fldCharType="separate"/>
          </w:r>
          <w:r>
            <w:rPr>
              <w:noProof/>
              <w:lang w:val="es-ES_tradnl"/>
            </w:rPr>
            <w:t>(EIOPA, 2014)</w:t>
          </w:r>
          <w:r>
            <w:fldChar w:fldCharType="end"/>
          </w:r>
        </w:sdtContent>
      </w:sdt>
      <w:r>
        <w:t xml:space="preserve">. In </w:t>
      </w:r>
      <w:r w:rsidRPr="00D53E7A">
        <w:t>2009, the Council of the European Union and the European Parliament have approved the Solvency II Directive, which is sc</w:t>
      </w:r>
      <w:r>
        <w:t xml:space="preserve">heduled for application as of 1 </w:t>
      </w:r>
      <w:r w:rsidRPr="00D53E7A">
        <w:t>January</w:t>
      </w:r>
      <w:r>
        <w:t xml:space="preserve"> </w:t>
      </w:r>
      <w:r w:rsidRPr="00D53E7A">
        <w:t xml:space="preserve">2016 </w:t>
      </w:r>
      <w:sdt>
        <w:sdtPr>
          <w:id w:val="1588424052"/>
          <w:citation/>
        </w:sdtPr>
        <w:sdtContent>
          <w:fldSimple w:instr=" CITATION EIO13 \l 2057 ">
            <w:r>
              <w:rPr>
                <w:noProof/>
              </w:rPr>
              <w:t>(EIOPA, 2013)</w:t>
            </w:r>
          </w:fldSimple>
        </w:sdtContent>
      </w:sdt>
      <w:r w:rsidRPr="00D53E7A">
        <w:t>.</w:t>
      </w:r>
    </w:p>
    <w:p w:rsidR="00771FC7" w:rsidRPr="002C22F6" w:rsidRDefault="00771FC7" w:rsidP="00771FC7">
      <w:pPr>
        <w:pStyle w:val="Body"/>
        <w:numPr>
          <w:ilvl w:val="0"/>
          <w:numId w:val="10"/>
        </w:numPr>
      </w:pPr>
      <w:r>
        <w:rPr>
          <w:b/>
        </w:rPr>
        <w:t>XBRL Europe Business Registers</w:t>
      </w:r>
      <w:r w:rsidRPr="002325F9">
        <w:t>:</w:t>
      </w:r>
      <w:r>
        <w:t xml:space="preserve"> </w:t>
      </w:r>
      <w:r w:rsidRPr="002C22F6">
        <w:t xml:space="preserve">The </w:t>
      </w:r>
      <w:r>
        <w:t xml:space="preserve">national </w:t>
      </w:r>
      <w:r w:rsidRPr="002C22F6">
        <w:t xml:space="preserve">Business Register collect </w:t>
      </w:r>
      <w:r>
        <w:t xml:space="preserve">the annual accounts and related </w:t>
      </w:r>
      <w:r w:rsidRPr="002C22F6">
        <w:t xml:space="preserve">information of </w:t>
      </w:r>
      <w:r>
        <w:t xml:space="preserve">each </w:t>
      </w:r>
      <w:r w:rsidRPr="002C22F6">
        <w:t>compan</w:t>
      </w:r>
      <w:r>
        <w:t>y in the country</w:t>
      </w:r>
      <w:r w:rsidRPr="002C22F6">
        <w:t xml:space="preserve">. </w:t>
      </w:r>
      <w:r w:rsidRPr="002C22F6">
        <w:lastRenderedPageBreak/>
        <w:t xml:space="preserve">Common concepts </w:t>
      </w:r>
      <w:r>
        <w:t xml:space="preserve">and tags </w:t>
      </w:r>
      <w:r w:rsidRPr="002C22F6">
        <w:t xml:space="preserve">described in the </w:t>
      </w:r>
      <w:r>
        <w:t xml:space="preserve">XBRL Europe Business Register </w:t>
      </w:r>
      <w:r w:rsidRPr="002C22F6">
        <w:t>(</w:t>
      </w:r>
      <w:proofErr w:type="spellStart"/>
      <w:r w:rsidRPr="002C22F6">
        <w:t>xEBR</w:t>
      </w:r>
      <w:proofErr w:type="spellEnd"/>
      <w:r w:rsidRPr="002C22F6">
        <w:t xml:space="preserve">) Taxonomy contribute to the harmonisation of financial statements and company identification in order to be interoperable </w:t>
      </w:r>
      <w:sdt>
        <w:sdtPr>
          <w:id w:val="-296218529"/>
          <w:citation/>
        </w:sdtPr>
        <w:sdtContent>
          <w:fldSimple w:instr=" CITATION XBR13 \l 2057 ">
            <w:r>
              <w:rPr>
                <w:noProof/>
              </w:rPr>
              <w:t>(XBRL Europe, 2013)</w:t>
            </w:r>
          </w:fldSimple>
        </w:sdtContent>
      </w:sdt>
      <w:r w:rsidRPr="002C22F6">
        <w:t xml:space="preserve">. Contrary to the Eurofiling initiatives, where the specifications are imposed by law at the European level, XBRL Europe has a bottom-up approach, where specifications are created as needed by the countries. The </w:t>
      </w:r>
      <w:proofErr w:type="spellStart"/>
      <w:r w:rsidRPr="002C22F6">
        <w:t>xEBR</w:t>
      </w:r>
      <w:proofErr w:type="spellEnd"/>
      <w:r w:rsidRPr="002C22F6">
        <w:t xml:space="preserve"> Working Group works at ensuring the interoperability between the countries. </w:t>
      </w:r>
    </w:p>
    <w:p w:rsidR="00771FC7" w:rsidRDefault="00771FC7" w:rsidP="00771FC7">
      <w:pPr>
        <w:pStyle w:val="Body"/>
      </w:pPr>
      <w:r>
        <w:t xml:space="preserve">In 2005, </w:t>
      </w:r>
      <w:r w:rsidRPr="00611A29">
        <w:t xml:space="preserve">the Committee of European Banking Supervisors (CEBS) </w:t>
      </w:r>
      <w:r>
        <w:t xml:space="preserve">and </w:t>
      </w:r>
      <w:r w:rsidRPr="00611A29">
        <w:t>XBRL in Europe host</w:t>
      </w:r>
      <w:r>
        <w:t>ed</w:t>
      </w:r>
      <w:r w:rsidRPr="00611A29">
        <w:t xml:space="preserve"> a conference in the Chartered Accountants' Hall in London to discuss the promises and challenges involved in the propagation of XBRL in the financial sector</w:t>
      </w:r>
      <w:r>
        <w:t xml:space="preserve"> </w:t>
      </w:r>
      <w:sdt>
        <w:sdtPr>
          <w:id w:val="38387867"/>
          <w:citation/>
        </w:sdtPr>
        <w:sdtContent>
          <w:r>
            <w:fldChar w:fldCharType="begin"/>
          </w:r>
          <w:r>
            <w:rPr>
              <w:lang w:val="es-ES_tradnl"/>
            </w:rPr>
            <w:instrText xml:space="preserve"> CITATION CEB05XBRL \l 1034 </w:instrText>
          </w:r>
          <w:r>
            <w:fldChar w:fldCharType="separate"/>
          </w:r>
          <w:r>
            <w:rPr>
              <w:noProof/>
              <w:lang w:val="es-ES_tradnl"/>
            </w:rPr>
            <w:t>(CEBS, 2005)</w:t>
          </w:r>
          <w:r>
            <w:fldChar w:fldCharType="end"/>
          </w:r>
        </w:sdtContent>
      </w:sdt>
      <w:r w:rsidRPr="00611A29">
        <w:t xml:space="preserve">. This conference </w:t>
      </w:r>
      <w:r>
        <w:t>was the starting point of XBRL as format for Financial Supervision.</w:t>
      </w:r>
    </w:p>
    <w:p w:rsidR="00771FC7" w:rsidRPr="002C22F6" w:rsidRDefault="00771FC7" w:rsidP="00771FC7">
      <w:pPr>
        <w:pStyle w:val="Body"/>
      </w:pPr>
      <w:r w:rsidRPr="002C22F6">
        <w:t xml:space="preserve">In 2013, the European Banking Authority published a draft concerning the implementation of uniform reporting requirements covering the FINREP and COREP guidelines, the Implementing Technical Standards:  </w:t>
      </w:r>
    </w:p>
    <w:p w:rsidR="00771FC7" w:rsidRPr="00CE21C9" w:rsidRDefault="00771FC7" w:rsidP="00771FC7">
      <w:pPr>
        <w:pStyle w:val="Body"/>
        <w:rPr>
          <w:i/>
          <w:iCs/>
        </w:rPr>
      </w:pPr>
      <w:r w:rsidRPr="00CE21C9">
        <w:t>“</w:t>
      </w:r>
      <w:r w:rsidRPr="00CE21C9">
        <w:rPr>
          <w:i/>
          <w:iCs/>
        </w:rPr>
        <w:t xml:space="preserve">On 26 July 2013 the EBA published final draft Implementing Technical Standards (ITS) on supervisory reporting, in accordance with Regulation (EU) No 575/2013 of the European Parliament and of the Council of 26 June 2013 on prudential requirements for credit institutions and investment firms and amending Regulation (EU) No 648/2012 (colloquially known as Capital Requirements Regulation or CRR). (…) </w:t>
      </w:r>
    </w:p>
    <w:p w:rsidR="00771FC7" w:rsidRDefault="00771FC7" w:rsidP="00771FC7">
      <w:pPr>
        <w:pStyle w:val="Body"/>
      </w:pPr>
      <w:r w:rsidRPr="00CE21C9">
        <w:rPr>
          <w:i/>
          <w:iCs/>
        </w:rPr>
        <w:t>As the final draft ITS on supervisory reporting will become part of the single rulebook with the particular aim of specifying uniform prudential reporting requirements, the implementation of the reporting requirements imposed on credit institutions and investment firms shall be based on uniform technical specifications of a granular level of detail</w:t>
      </w:r>
      <w:r>
        <w:t xml:space="preserve">” </w:t>
      </w:r>
      <w:sdt>
        <w:sdtPr>
          <w:id w:val="1804266003"/>
          <w:citation/>
        </w:sdtPr>
        <w:sdtContent>
          <w:fldSimple w:instr=" CITATION EBA13 \l 2057 ">
            <w:r>
              <w:rPr>
                <w:noProof/>
              </w:rPr>
              <w:t>(EBA, 2013)</w:t>
            </w:r>
          </w:fldSimple>
        </w:sdtContent>
      </w:sdt>
      <w:r>
        <w:t>.</w:t>
      </w:r>
    </w:p>
    <w:p w:rsidR="00771FC7" w:rsidRPr="00C70F2A" w:rsidRDefault="00771FC7" w:rsidP="00771FC7">
      <w:pPr>
        <w:pStyle w:val="Body"/>
      </w:pPr>
      <w:r>
        <w:t>“</w:t>
      </w:r>
      <w:r w:rsidRPr="00CE21C9">
        <w:rPr>
          <w:i/>
          <w:iCs/>
        </w:rPr>
        <w:t>These ITS will cover reporting of own-funds and capital requirements (currently under the COREP Guidelines), reporting of financial information (currently under the FINREP Guidelines) and reporting on large exposures (currently under the COREP Large Exposures Guidelines)”</w:t>
      </w:r>
      <w:r>
        <w:rPr>
          <w:i/>
          <w:iCs/>
        </w:rPr>
        <w:t xml:space="preserve"> </w:t>
      </w:r>
      <w:sdt>
        <w:sdtPr>
          <w:rPr>
            <w:i/>
            <w:iCs/>
          </w:rPr>
          <w:id w:val="-786812613"/>
          <w:citation/>
        </w:sdtPr>
        <w:sdtContent>
          <w:r>
            <w:rPr>
              <w:i/>
              <w:iCs/>
            </w:rPr>
            <w:fldChar w:fldCharType="begin"/>
          </w:r>
          <w:r>
            <w:rPr>
              <w:i/>
              <w:iCs/>
            </w:rPr>
            <w:instrText xml:space="preserve"> CITATION EBA131 \l 2057 </w:instrText>
          </w:r>
          <w:r>
            <w:rPr>
              <w:i/>
              <w:iCs/>
            </w:rPr>
            <w:fldChar w:fldCharType="separate"/>
          </w:r>
          <w:r>
            <w:rPr>
              <w:noProof/>
            </w:rPr>
            <w:t>(EBA, 2013)</w:t>
          </w:r>
          <w:r>
            <w:rPr>
              <w:i/>
              <w:iCs/>
            </w:rPr>
            <w:fldChar w:fldCharType="end"/>
          </w:r>
        </w:sdtContent>
      </w:sdt>
      <w:r>
        <w:rPr>
          <w:i/>
          <w:iCs/>
        </w:rPr>
        <w:t>.</w:t>
      </w:r>
    </w:p>
    <w:p w:rsidR="00771FC7" w:rsidRDefault="00771FC7" w:rsidP="00771FC7">
      <w:pPr>
        <w:spacing w:after="0"/>
        <w:jc w:val="left"/>
        <w:rPr>
          <w:rFonts w:ascii="Verdana" w:hAnsi="Verdana"/>
          <w:b/>
          <w:sz w:val="20"/>
          <w:lang w:val="en-GB"/>
        </w:rPr>
      </w:pPr>
      <w:r w:rsidRPr="002D4FB1">
        <w:rPr>
          <w:lang w:val="en-GB"/>
        </w:rPr>
        <w:br w:type="page"/>
      </w:r>
    </w:p>
    <w:p w:rsidR="00771FC7" w:rsidRDefault="00771FC7" w:rsidP="00771FC7">
      <w:pPr>
        <w:pStyle w:val="Ttulo3"/>
      </w:pPr>
      <w:proofErr w:type="gramStart"/>
      <w:r w:rsidRPr="00C70F2A">
        <w:lastRenderedPageBreak/>
        <w:t>e-Document</w:t>
      </w:r>
      <w:proofErr w:type="gramEnd"/>
      <w:r w:rsidRPr="00C70F2A">
        <w:t xml:space="preserve"> engineering method</w:t>
      </w:r>
    </w:p>
    <w:p w:rsidR="00771FC7" w:rsidRPr="009B3300" w:rsidRDefault="00771FC7" w:rsidP="00771FC7">
      <w:pPr>
        <w:rPr>
          <w:rFonts w:ascii="Verdana" w:hAnsi="Verdana"/>
          <w:sz w:val="20"/>
          <w:lang w:val="en-GB"/>
        </w:rPr>
      </w:pPr>
      <w:r>
        <w:rPr>
          <w:rFonts w:ascii="Verdana" w:hAnsi="Verdana"/>
          <w:sz w:val="20"/>
          <w:lang w:val="en-GB"/>
        </w:rPr>
        <w:t>The</w:t>
      </w:r>
      <w:r w:rsidRPr="009B3300">
        <w:rPr>
          <w:rFonts w:ascii="Verdana" w:hAnsi="Verdana"/>
          <w:sz w:val="20"/>
          <w:lang w:val="en-GB"/>
        </w:rPr>
        <w:t xml:space="preserve"> use of XBRL</w:t>
      </w:r>
      <w:r>
        <w:rPr>
          <w:rFonts w:ascii="Verdana" w:hAnsi="Verdana"/>
          <w:sz w:val="20"/>
          <w:lang w:val="en-GB"/>
        </w:rPr>
        <w:t xml:space="preserve"> is recommended</w:t>
      </w:r>
      <w:r w:rsidRPr="009B3300">
        <w:rPr>
          <w:rFonts w:ascii="Verdana" w:hAnsi="Verdana"/>
          <w:sz w:val="20"/>
          <w:lang w:val="en-GB"/>
        </w:rPr>
        <w:t xml:space="preserve"> for financial reporting. The Eurofiling project is an open joint initiative of the </w:t>
      </w:r>
      <w:r w:rsidRPr="00D013FF">
        <w:rPr>
          <w:rFonts w:ascii="Verdana" w:hAnsi="Verdana"/>
          <w:sz w:val="20"/>
          <w:lang w:val="en-GB"/>
        </w:rPr>
        <w:t xml:space="preserve">open joint initiative of the European Banking Authority (EBA) and the European Insurance and Occupational Pensions Authority (EIOPA) in </w:t>
      </w:r>
      <w:proofErr w:type="spellStart"/>
      <w:r w:rsidRPr="00D013FF">
        <w:rPr>
          <w:rFonts w:ascii="Verdana" w:hAnsi="Verdana"/>
          <w:sz w:val="20"/>
          <w:lang w:val="en-GB"/>
        </w:rPr>
        <w:t>in</w:t>
      </w:r>
      <w:proofErr w:type="spellEnd"/>
      <w:r w:rsidRPr="00D013FF">
        <w:rPr>
          <w:rFonts w:ascii="Verdana" w:hAnsi="Verdana"/>
          <w:sz w:val="20"/>
          <w:lang w:val="en-GB"/>
        </w:rPr>
        <w:t xml:space="preserve"> collaboration with XBRL Europe, as well as stakeholders as banks, solutions pro</w:t>
      </w:r>
      <w:r>
        <w:rPr>
          <w:rFonts w:ascii="Verdana" w:hAnsi="Verdana"/>
          <w:sz w:val="20"/>
          <w:lang w:val="en-GB"/>
        </w:rPr>
        <w:t xml:space="preserve">viders, academy and individuals </w:t>
      </w:r>
      <w:sdt>
        <w:sdtPr>
          <w:rPr>
            <w:rFonts w:ascii="Verdana" w:hAnsi="Verdana"/>
            <w:sz w:val="20"/>
            <w:lang w:val="en-GB"/>
          </w:rPr>
          <w:id w:val="38387997"/>
          <w:citation/>
        </w:sdtPr>
        <w:sdtContent>
          <w:r>
            <w:rPr>
              <w:rFonts w:ascii="Verdana" w:hAnsi="Verdana"/>
              <w:sz w:val="20"/>
              <w:lang w:val="en-GB"/>
            </w:rPr>
            <w:fldChar w:fldCharType="begin"/>
          </w:r>
          <w:r>
            <w:rPr>
              <w:rFonts w:ascii="Verdana" w:hAnsi="Verdana"/>
              <w:sz w:val="20"/>
              <w:lang w:val="es-ES_tradnl"/>
            </w:rPr>
            <w:instrText xml:space="preserve"> CITATION Abo14 \l 1034  </w:instrText>
          </w:r>
          <w:r>
            <w:rPr>
              <w:rFonts w:ascii="Verdana" w:hAnsi="Verdana"/>
              <w:sz w:val="20"/>
              <w:lang w:val="en-GB"/>
            </w:rPr>
            <w:fldChar w:fldCharType="separate"/>
          </w:r>
          <w:r w:rsidRPr="006E1CE4">
            <w:rPr>
              <w:rFonts w:ascii="Verdana" w:hAnsi="Verdana"/>
              <w:noProof/>
              <w:sz w:val="20"/>
              <w:lang w:val="es-ES_tradnl"/>
            </w:rPr>
            <w:t>(Eurofiling, about us)</w:t>
          </w:r>
          <w:r>
            <w:rPr>
              <w:rFonts w:ascii="Verdana" w:hAnsi="Verdana"/>
              <w:sz w:val="20"/>
              <w:lang w:val="en-GB"/>
            </w:rPr>
            <w:fldChar w:fldCharType="end"/>
          </w:r>
        </w:sdtContent>
      </w:sdt>
      <w:r w:rsidRPr="009B3300">
        <w:rPr>
          <w:rFonts w:ascii="Verdana" w:hAnsi="Verdana"/>
          <w:sz w:val="20"/>
          <w:lang w:val="en-GB"/>
        </w:rPr>
        <w:t>.</w:t>
      </w:r>
      <w:r>
        <w:rPr>
          <w:rFonts w:ascii="Verdana" w:hAnsi="Verdana"/>
          <w:sz w:val="20"/>
          <w:lang w:val="en-GB"/>
        </w:rPr>
        <w:t xml:space="preserve"> </w:t>
      </w:r>
      <w:r w:rsidRPr="002C22F6">
        <w:rPr>
          <w:rFonts w:ascii="Verdana" w:hAnsi="Verdana"/>
          <w:sz w:val="20"/>
          <w:lang w:val="en-GB"/>
        </w:rPr>
        <w:t xml:space="preserve">The collaborative network </w:t>
      </w:r>
      <w:r>
        <w:rPr>
          <w:rFonts w:ascii="Verdana" w:hAnsi="Verdana"/>
          <w:sz w:val="20"/>
          <w:lang w:val="en-GB"/>
        </w:rPr>
        <w:t xml:space="preserve">collaborates in the </w:t>
      </w:r>
      <w:r w:rsidRPr="002C22F6">
        <w:rPr>
          <w:rFonts w:ascii="Verdana" w:hAnsi="Verdana"/>
          <w:sz w:val="20"/>
          <w:lang w:val="en-GB"/>
        </w:rPr>
        <w:t>develop</w:t>
      </w:r>
      <w:r>
        <w:rPr>
          <w:rFonts w:ascii="Verdana" w:hAnsi="Verdana"/>
          <w:sz w:val="20"/>
          <w:lang w:val="en-GB"/>
        </w:rPr>
        <w:t>ment of</w:t>
      </w:r>
      <w:r w:rsidRPr="002C22F6">
        <w:rPr>
          <w:rFonts w:ascii="Verdana" w:hAnsi="Verdana"/>
          <w:sz w:val="20"/>
          <w:lang w:val="en-GB"/>
        </w:rPr>
        <w:t xml:space="preserve"> the technical specifications of the reporting frameworks (COREP, FINREP and Solvency II). Being a community of experts, Eurofiling helps generating an applicable methodology for the taxonomies along with public testing and improvements to be made to the data formats.</w:t>
      </w:r>
      <w:r>
        <w:rPr>
          <w:rFonts w:ascii="Verdana" w:hAnsi="Verdana"/>
          <w:sz w:val="20"/>
          <w:lang w:val="en-GB"/>
        </w:rPr>
        <w:t xml:space="preserve"> XBRL Europe also collaborates with national Business Registers in the European </w:t>
      </w:r>
      <w:proofErr w:type="spellStart"/>
      <w:r>
        <w:rPr>
          <w:rFonts w:ascii="Verdana" w:hAnsi="Verdana"/>
          <w:sz w:val="20"/>
          <w:lang w:val="en-GB"/>
        </w:rPr>
        <w:t>xEBR</w:t>
      </w:r>
      <w:proofErr w:type="spellEnd"/>
      <w:r>
        <w:rPr>
          <w:rFonts w:ascii="Verdana" w:hAnsi="Verdana"/>
          <w:sz w:val="20"/>
          <w:lang w:val="en-GB"/>
        </w:rPr>
        <w:t xml:space="preserve"> Taxonomy.</w:t>
      </w:r>
    </w:p>
    <w:p w:rsidR="00771FC7" w:rsidRPr="009B3300" w:rsidRDefault="00771FC7" w:rsidP="00771FC7">
      <w:pPr>
        <w:pStyle w:val="Body"/>
      </w:pPr>
      <w:r>
        <w:t xml:space="preserve">As noted on the legal notice, </w:t>
      </w:r>
      <w:r w:rsidRPr="009B3300">
        <w:t>Eurofiling is licensed under the European Union Public Licence</w:t>
      </w:r>
      <w:r>
        <w:t xml:space="preserve"> </w:t>
      </w:r>
      <w:sdt>
        <w:sdtPr>
          <w:id w:val="-276648734"/>
          <w:citation/>
        </w:sdtPr>
        <w:sdtContent>
          <w:fldSimple w:instr=" CITATION Eur111 \l 2057 ">
            <w:r>
              <w:rPr>
                <w:noProof/>
              </w:rPr>
              <w:t>(Eurofiling Initiative, 2011)</w:t>
            </w:r>
          </w:fldSimple>
        </w:sdtContent>
      </w:sdt>
      <w:r w:rsidRPr="009B3300">
        <w:t>.</w:t>
      </w:r>
    </w:p>
    <w:p w:rsidR="00771FC7" w:rsidRPr="009B3300" w:rsidRDefault="00771FC7" w:rsidP="00771FC7">
      <w:pPr>
        <w:rPr>
          <w:rFonts w:ascii="Verdana" w:hAnsi="Verdana"/>
          <w:sz w:val="20"/>
          <w:lang w:val="en-GB"/>
        </w:rPr>
      </w:pPr>
      <w:r w:rsidRPr="009B3300">
        <w:rPr>
          <w:rFonts w:ascii="Verdana" w:hAnsi="Verdana"/>
          <w:sz w:val="20"/>
          <w:lang w:val="en-GB"/>
        </w:rPr>
        <w:t>XBRL is a</w:t>
      </w:r>
      <w:r>
        <w:rPr>
          <w:rFonts w:ascii="Verdana" w:hAnsi="Verdana"/>
          <w:sz w:val="20"/>
          <w:lang w:val="en-GB"/>
        </w:rPr>
        <w:t>n</w:t>
      </w:r>
      <w:r w:rsidRPr="009B3300">
        <w:rPr>
          <w:rFonts w:ascii="Verdana" w:hAnsi="Verdana"/>
          <w:sz w:val="20"/>
          <w:lang w:val="en-GB"/>
        </w:rPr>
        <w:t xml:space="preserve"> </w:t>
      </w:r>
      <w:r>
        <w:rPr>
          <w:rFonts w:ascii="Verdana" w:hAnsi="Verdana"/>
          <w:sz w:val="20"/>
          <w:lang w:val="en-GB"/>
        </w:rPr>
        <w:t xml:space="preserve">XML </w:t>
      </w:r>
      <w:r w:rsidRPr="009B3300">
        <w:rPr>
          <w:rFonts w:ascii="Verdana" w:hAnsi="Verdana"/>
          <w:sz w:val="20"/>
          <w:lang w:val="en-GB"/>
        </w:rPr>
        <w:t>general-purpose language for business reporting. Regulatory supervisors, such as the EBA</w:t>
      </w:r>
      <w:r>
        <w:rPr>
          <w:rFonts w:ascii="Verdana" w:hAnsi="Verdana"/>
          <w:sz w:val="20"/>
          <w:lang w:val="en-GB"/>
        </w:rPr>
        <w:t>, EIOPA</w:t>
      </w:r>
      <w:r w:rsidRPr="009B3300">
        <w:rPr>
          <w:rFonts w:ascii="Verdana" w:hAnsi="Verdana"/>
          <w:sz w:val="20"/>
          <w:lang w:val="en-GB"/>
        </w:rPr>
        <w:t xml:space="preserve">, </w:t>
      </w:r>
      <w:r>
        <w:rPr>
          <w:rFonts w:ascii="Verdana" w:hAnsi="Verdana"/>
          <w:sz w:val="20"/>
          <w:lang w:val="en-GB"/>
        </w:rPr>
        <w:t xml:space="preserve">and Business Registers </w:t>
      </w:r>
      <w:r w:rsidRPr="009B3300">
        <w:rPr>
          <w:rFonts w:ascii="Verdana" w:hAnsi="Verdana"/>
          <w:sz w:val="20"/>
          <w:lang w:val="en-GB"/>
        </w:rPr>
        <w:t xml:space="preserve">usually create an </w:t>
      </w:r>
      <w:r w:rsidRPr="009B3300">
        <w:rPr>
          <w:rFonts w:ascii="Verdana" w:hAnsi="Verdana"/>
          <w:b/>
          <w:sz w:val="20"/>
          <w:lang w:val="en-GB"/>
        </w:rPr>
        <w:t>XBRL taxonomy</w:t>
      </w:r>
      <w:r w:rsidRPr="009B3300">
        <w:rPr>
          <w:rFonts w:ascii="Verdana" w:hAnsi="Verdana"/>
          <w:sz w:val="20"/>
          <w:lang w:val="en-GB"/>
        </w:rPr>
        <w:t xml:space="preserve"> for their regulatory reporting requirements that defines the specific data elements that are used for individual items of data (such as "net profit"), their attributes and their interrelationships.  </w:t>
      </w:r>
    </w:p>
    <w:p w:rsidR="00771FC7" w:rsidRPr="00C70F2A" w:rsidRDefault="00771FC7" w:rsidP="00771FC7">
      <w:pPr>
        <w:pStyle w:val="Body"/>
        <w:numPr>
          <w:ilvl w:val="0"/>
          <w:numId w:val="10"/>
        </w:numPr>
      </w:pPr>
      <w:r w:rsidRPr="000D44FB">
        <w:rPr>
          <w:b/>
          <w:bCs/>
        </w:rPr>
        <w:t>Methodology</w:t>
      </w:r>
      <w:r w:rsidRPr="00C70F2A">
        <w:t xml:space="preserve">: </w:t>
      </w:r>
      <w:r>
        <w:t>The</w:t>
      </w:r>
      <w:r w:rsidRPr="00216AA8">
        <w:t xml:space="preserve"> Data Point Model Methodology</w:t>
      </w:r>
      <w:r>
        <w:t xml:space="preserve"> is formalized under the CEN Workshop on XBRL, and used to define the COREP, </w:t>
      </w:r>
      <w:r w:rsidRPr="002C22F6">
        <w:t xml:space="preserve">FINREP and Solvency II </w:t>
      </w:r>
      <w:r>
        <w:t xml:space="preserve">XBRL taxonomies </w:t>
      </w:r>
      <w:sdt>
        <w:sdtPr>
          <w:id w:val="561842575"/>
          <w:citation/>
        </w:sdtPr>
        <w:sdtContent>
          <w:fldSimple w:instr=" CITATION CEN13 \l 2057 ">
            <w:r>
              <w:rPr>
                <w:noProof/>
              </w:rPr>
              <w:t>(CEN/WS XBRL, 2013)</w:t>
            </w:r>
          </w:fldSimple>
        </w:sdtContent>
      </w:sdt>
      <w:r>
        <w:t xml:space="preserve">. A </w:t>
      </w:r>
      <w:proofErr w:type="spellStart"/>
      <w:r w:rsidRPr="004E4EF1">
        <w:rPr>
          <w:bCs/>
          <w:i/>
          <w:iCs/>
        </w:rPr>
        <w:t>DataPointModel</w:t>
      </w:r>
      <w:proofErr w:type="spellEnd"/>
      <w:r>
        <w:t xml:space="preserve"> defines structures of data describing the characteristics of the information exchanged in the context of supervisory reporting processes. A </w:t>
      </w:r>
      <w:proofErr w:type="spellStart"/>
      <w:r>
        <w:t>DataPointModel</w:t>
      </w:r>
      <w:proofErr w:type="spellEnd"/>
      <w:r>
        <w:t xml:space="preserve"> consists of a dictionary of business concepts and their properties, which are represented in tables and corresponding textual explanation. To reflect the defined structures in a machine-readable form, it can be accompanied by </w:t>
      </w:r>
      <w:proofErr w:type="gramStart"/>
      <w:r>
        <w:t>an XBRL</w:t>
      </w:r>
      <w:proofErr w:type="gramEnd"/>
      <w:r>
        <w:t xml:space="preserve"> taxonomy.</w:t>
      </w:r>
    </w:p>
    <w:p w:rsidR="00771FC7" w:rsidRDefault="00771FC7" w:rsidP="00771FC7">
      <w:pPr>
        <w:pStyle w:val="Body"/>
        <w:numPr>
          <w:ilvl w:val="0"/>
          <w:numId w:val="10"/>
        </w:numPr>
      </w:pPr>
      <w:r w:rsidRPr="00C70F2A">
        <w:rPr>
          <w:b/>
          <w:bCs/>
        </w:rPr>
        <w:t>Library of data elements</w:t>
      </w:r>
      <w:r w:rsidRPr="00C70F2A">
        <w:t xml:space="preserve">: </w:t>
      </w:r>
      <w:r>
        <w:t>Data Point Models are published for COREP 2.0.0, FINREP 2.0.0 and Solvency II. Identified common elements are published in Eurofiling repository.</w:t>
      </w:r>
    </w:p>
    <w:p w:rsidR="00771FC7" w:rsidRPr="002C22F6" w:rsidRDefault="00771FC7" w:rsidP="00771FC7">
      <w:pPr>
        <w:pStyle w:val="Body"/>
        <w:numPr>
          <w:ilvl w:val="0"/>
          <w:numId w:val="11"/>
        </w:numPr>
        <w:rPr>
          <w:i/>
          <w:iCs/>
        </w:rPr>
      </w:pPr>
      <w:r w:rsidRPr="00C70F2A">
        <w:rPr>
          <w:b/>
          <w:bCs/>
        </w:rPr>
        <w:t>The naming and design rules</w:t>
      </w:r>
      <w:r w:rsidRPr="00C70F2A">
        <w:t xml:space="preserve">: the </w:t>
      </w:r>
      <w:r>
        <w:t xml:space="preserve">XBRL Taxonomies follow the naming and design rules of the XBRL specification. </w:t>
      </w:r>
    </w:p>
    <w:p w:rsidR="00771FC7" w:rsidRPr="002C22F6" w:rsidRDefault="00771FC7" w:rsidP="00771FC7">
      <w:pPr>
        <w:pStyle w:val="Body"/>
        <w:numPr>
          <w:ilvl w:val="0"/>
          <w:numId w:val="11"/>
        </w:numPr>
        <w:rPr>
          <w:i/>
          <w:iCs/>
        </w:rPr>
      </w:pPr>
      <w:proofErr w:type="gramStart"/>
      <w:r>
        <w:rPr>
          <w:b/>
          <w:bCs/>
        </w:rPr>
        <w:t>e-Document</w:t>
      </w:r>
      <w:proofErr w:type="gramEnd"/>
      <w:r>
        <w:rPr>
          <w:b/>
          <w:bCs/>
        </w:rPr>
        <w:t xml:space="preserve"> engineering tools:</w:t>
      </w:r>
      <w:r>
        <w:rPr>
          <w:bCs/>
        </w:rPr>
        <w:t xml:space="preserve"> The tools used to produce XBRL Taxonomies are either commercial tools as well as Supervisory developed tools </w:t>
      </w:r>
      <w:sdt>
        <w:sdtPr>
          <w:rPr>
            <w:bCs/>
          </w:rPr>
          <w:id w:val="38388001"/>
          <w:citation/>
        </w:sdtPr>
        <w:sdtContent>
          <w:r>
            <w:rPr>
              <w:bCs/>
            </w:rPr>
            <w:fldChar w:fldCharType="begin"/>
          </w:r>
          <w:r>
            <w:rPr>
              <w:bCs/>
              <w:lang w:val="es-ES_tradnl"/>
            </w:rPr>
            <w:instrText xml:space="preserve"> CITATION Owe13 \l 1034 </w:instrText>
          </w:r>
          <w:r>
            <w:rPr>
              <w:bCs/>
            </w:rPr>
            <w:fldChar w:fldCharType="separate"/>
          </w:r>
          <w:r>
            <w:rPr>
              <w:noProof/>
              <w:lang w:val="es-ES_tradnl"/>
            </w:rPr>
            <w:t>(Jones, 2013)</w:t>
          </w:r>
          <w:r>
            <w:rPr>
              <w:bCs/>
            </w:rPr>
            <w:fldChar w:fldCharType="end"/>
          </w:r>
        </w:sdtContent>
      </w:sdt>
      <w:r>
        <w:rPr>
          <w:bCs/>
        </w:rPr>
        <w:t>.</w:t>
      </w:r>
    </w:p>
    <w:p w:rsidR="00771FC7" w:rsidRPr="00C70F2A" w:rsidRDefault="00771FC7" w:rsidP="00771FC7">
      <w:pPr>
        <w:pStyle w:val="Body"/>
        <w:numPr>
          <w:ilvl w:val="0"/>
          <w:numId w:val="11"/>
        </w:numPr>
        <w:rPr>
          <w:i/>
          <w:iCs/>
        </w:rPr>
      </w:pPr>
      <w:r w:rsidRPr="00C70F2A">
        <w:rPr>
          <w:b/>
          <w:bCs/>
        </w:rPr>
        <w:t>Representation techniques</w:t>
      </w:r>
      <w:r w:rsidRPr="00C70F2A">
        <w:t xml:space="preserve">: the formats are defined as XBRL taxonomies, consisting of XML Schemas and XBRL </w:t>
      </w:r>
      <w:proofErr w:type="spellStart"/>
      <w:r w:rsidRPr="00C70F2A">
        <w:t>linkbases</w:t>
      </w:r>
      <w:proofErr w:type="spellEnd"/>
      <w:r w:rsidRPr="00C70F2A">
        <w:t xml:space="preserve">. </w:t>
      </w:r>
    </w:p>
    <w:p w:rsidR="00771FC7" w:rsidRDefault="00771FC7" w:rsidP="00771FC7">
      <w:pPr>
        <w:spacing w:after="0"/>
        <w:jc w:val="left"/>
        <w:rPr>
          <w:rFonts w:ascii="Verdana" w:hAnsi="Verdana"/>
          <w:b/>
          <w:sz w:val="20"/>
          <w:lang w:val="en-GB"/>
        </w:rPr>
      </w:pPr>
      <w:r>
        <w:br w:type="page"/>
      </w:r>
    </w:p>
    <w:p w:rsidR="00771FC7" w:rsidRPr="00C70F2A" w:rsidRDefault="00771FC7" w:rsidP="00771FC7">
      <w:pPr>
        <w:pStyle w:val="Ttulo3"/>
      </w:pPr>
      <w:r w:rsidRPr="00C70F2A">
        <w:lastRenderedPageBreak/>
        <w:t>Governance mechanisms</w:t>
      </w:r>
    </w:p>
    <w:p w:rsidR="00771FC7" w:rsidRPr="00C70F2A" w:rsidRDefault="00771FC7" w:rsidP="00771FC7">
      <w:pPr>
        <w:pStyle w:val="Body"/>
        <w:numPr>
          <w:ilvl w:val="0"/>
          <w:numId w:val="12"/>
        </w:numPr>
      </w:pPr>
      <w:r w:rsidRPr="00C70F2A">
        <w:rPr>
          <w:b/>
          <w:bCs/>
        </w:rPr>
        <w:t>Change management</w:t>
      </w:r>
    </w:p>
    <w:p w:rsidR="00771FC7" w:rsidRPr="00AF19F9" w:rsidRDefault="00771FC7" w:rsidP="00771FC7">
      <w:pPr>
        <w:pStyle w:val="Prrafodelista"/>
        <w:numPr>
          <w:ilvl w:val="0"/>
          <w:numId w:val="13"/>
        </w:numPr>
        <w:spacing w:after="120"/>
        <w:ind w:left="1077" w:hanging="357"/>
        <w:contextualSpacing w:val="0"/>
        <w:rPr>
          <w:rFonts w:ascii="Verdana" w:hAnsi="Verdana"/>
          <w:szCs w:val="20"/>
          <w:lang w:eastAsia="en-US"/>
        </w:rPr>
      </w:pPr>
      <w:r w:rsidRPr="00A842AE">
        <w:rPr>
          <w:rFonts w:ascii="Verdana" w:hAnsi="Verdana"/>
          <w:b/>
          <w:bCs/>
          <w:i/>
          <w:iCs/>
        </w:rPr>
        <w:t>Organisation roles</w:t>
      </w:r>
      <w:r w:rsidRPr="00A842AE">
        <w:rPr>
          <w:rFonts w:ascii="Verdana" w:hAnsi="Verdana"/>
        </w:rPr>
        <w:t>:</w:t>
      </w:r>
    </w:p>
    <w:p w:rsidR="00771FC7" w:rsidRPr="00B160DD" w:rsidRDefault="00771FC7" w:rsidP="00771FC7">
      <w:pPr>
        <w:pStyle w:val="Prrafodelista"/>
        <w:numPr>
          <w:ilvl w:val="1"/>
          <w:numId w:val="13"/>
        </w:numPr>
        <w:spacing w:after="120"/>
        <w:contextualSpacing w:val="0"/>
        <w:rPr>
          <w:rFonts w:ascii="Verdana" w:hAnsi="Verdana"/>
          <w:szCs w:val="20"/>
          <w:lang w:eastAsia="en-US"/>
        </w:rPr>
      </w:pPr>
      <w:r>
        <w:rPr>
          <w:rFonts w:ascii="Verdana" w:hAnsi="Verdana"/>
          <w:bCs/>
          <w:iCs/>
        </w:rPr>
        <w:t>XBRL Europe, Eurofiling: collaborative network of experts for discussing changes</w:t>
      </w:r>
    </w:p>
    <w:p w:rsidR="00771FC7" w:rsidRPr="00B160DD" w:rsidRDefault="00771FC7" w:rsidP="00771FC7">
      <w:pPr>
        <w:pStyle w:val="Prrafodelista"/>
        <w:numPr>
          <w:ilvl w:val="1"/>
          <w:numId w:val="13"/>
        </w:numPr>
        <w:spacing w:after="120"/>
        <w:contextualSpacing w:val="0"/>
        <w:rPr>
          <w:rFonts w:ascii="Verdana" w:hAnsi="Verdana"/>
          <w:szCs w:val="20"/>
          <w:lang w:eastAsia="en-US"/>
        </w:rPr>
      </w:pPr>
      <w:r w:rsidRPr="00B160DD">
        <w:rPr>
          <w:rFonts w:ascii="Verdana" w:hAnsi="Verdana"/>
          <w:bCs/>
          <w:iCs/>
        </w:rPr>
        <w:t>EBA and EIOPA: authorities that promulgate new formats</w:t>
      </w:r>
    </w:p>
    <w:p w:rsidR="00771FC7" w:rsidRDefault="00771FC7" w:rsidP="00771FC7">
      <w:pPr>
        <w:pStyle w:val="Body"/>
        <w:numPr>
          <w:ilvl w:val="0"/>
          <w:numId w:val="13"/>
        </w:numPr>
      </w:pPr>
      <w:r w:rsidRPr="00C70F2A">
        <w:rPr>
          <w:b/>
          <w:bCs/>
          <w:i/>
          <w:iCs/>
        </w:rPr>
        <w:t>Decision making process</w:t>
      </w:r>
      <w:r w:rsidRPr="00C70F2A">
        <w:t xml:space="preserve">: </w:t>
      </w:r>
      <w:r>
        <w:t>Methodologies, Practices, Standards and Changes are discussed by the collaborative network of experts within XBRL Europe and Eurofiling. They are then contributed to the EBA and EIOPA authorities who develop, communicate and publish the new formats.</w:t>
      </w:r>
    </w:p>
    <w:p w:rsidR="00771FC7" w:rsidRPr="00C70F2A" w:rsidRDefault="00771FC7" w:rsidP="00771FC7">
      <w:pPr>
        <w:pStyle w:val="Body"/>
        <w:ind w:left="1080"/>
      </w:pPr>
      <w:r w:rsidRPr="00C70F2A">
        <w:t>New editions of data formats are published for review under a unique “released” URL. Once the review period has concluded, the official URLs are updated to point to the new edition. New editions are announced on the mailing list and discussed using conference calls. Previous releases remain accessible, users can thus choose between using the URL of a specific frozen release, or an official URL that is updated, but tested for backward compatibility.</w:t>
      </w:r>
    </w:p>
    <w:p w:rsidR="00771FC7" w:rsidRPr="00C70F2A" w:rsidRDefault="00771FC7" w:rsidP="00771FC7">
      <w:pPr>
        <w:pStyle w:val="Body"/>
        <w:numPr>
          <w:ilvl w:val="0"/>
          <w:numId w:val="13"/>
        </w:numPr>
      </w:pPr>
      <w:r w:rsidRPr="00F85B68">
        <w:rPr>
          <w:b/>
          <w:bCs/>
          <w:i/>
          <w:iCs/>
          <w:highlight w:val="yellow"/>
        </w:rPr>
        <w:t>Documentation</w:t>
      </w:r>
      <w:r w:rsidRPr="00C70F2A">
        <w:t>:</w:t>
      </w:r>
    </w:p>
    <w:p w:rsidR="00771FC7" w:rsidRPr="001D1131" w:rsidRDefault="00771FC7" w:rsidP="00771FC7">
      <w:pPr>
        <w:pStyle w:val="Body"/>
        <w:numPr>
          <w:ilvl w:val="0"/>
          <w:numId w:val="12"/>
        </w:numPr>
      </w:pPr>
      <w:r w:rsidRPr="00C70F2A">
        <w:rPr>
          <w:b/>
          <w:bCs/>
        </w:rPr>
        <w:t>Enforcement policy</w:t>
      </w:r>
      <w:r w:rsidRPr="00F86B7F">
        <w:rPr>
          <w:b/>
          <w:bCs/>
          <w:color w:val="00B050"/>
        </w:rPr>
        <w:t xml:space="preserve">: </w:t>
      </w:r>
      <w:r w:rsidRPr="00AF19F9">
        <w:rPr>
          <w:bCs/>
        </w:rPr>
        <w:t>The sharing and reuse of the XBRL format is currently voluntary between reporting authorities and national authorities within the same country (“</w:t>
      </w:r>
      <w:r w:rsidRPr="00AF19F9">
        <w:rPr>
          <w:bCs/>
          <w:iCs/>
        </w:rPr>
        <w:t>first level</w:t>
      </w:r>
      <w:r w:rsidRPr="00AF19F9">
        <w:rPr>
          <w:bCs/>
        </w:rPr>
        <w:t xml:space="preserve">”). Such authorities have the option to apply the traditional approach or make use of XBRL. It is up to each country to decide whether the use of XBRL is made mandatory. On the “second level”, i.e., communication between national authorities and European authorities, the use of XBRL is in the process of being made mandatory. </w:t>
      </w:r>
    </w:p>
    <w:p w:rsidR="00771FC7" w:rsidRPr="00C70F2A" w:rsidRDefault="00771FC7" w:rsidP="00771FC7">
      <w:pPr>
        <w:pStyle w:val="Body"/>
        <w:numPr>
          <w:ilvl w:val="0"/>
          <w:numId w:val="12"/>
        </w:numPr>
      </w:pPr>
      <w:r w:rsidRPr="00360069">
        <w:rPr>
          <w:b/>
          <w:bCs/>
        </w:rPr>
        <w:t>Authoritative source</w:t>
      </w:r>
      <w:r w:rsidRPr="00C70F2A">
        <w:t>:</w:t>
      </w:r>
      <w:r>
        <w:t xml:space="preserve"> </w:t>
      </w:r>
      <w:r w:rsidRPr="00771FC7">
        <w:t>The ITS and DPM are pending publication in the Official Journal of the European Union, and adoption as EU Regulations that will be directly applicable throughout the EU. XBRL</w:t>
      </w:r>
      <w:r>
        <w:t xml:space="preserve"> Taxonomies are to be published by the respective regulator as EBA and EIOPA. Common EBA/EIOPA definitions are published by Eurofiling. The non-profit XBRL International publishes the language source </w:t>
      </w:r>
      <w:sdt>
        <w:sdtPr>
          <w:id w:val="38388002"/>
          <w:citation/>
        </w:sdtPr>
        <w:sdtContent>
          <w:r>
            <w:fldChar w:fldCharType="begin"/>
          </w:r>
          <w:r>
            <w:rPr>
              <w:lang w:val="es-ES_tradnl"/>
            </w:rPr>
            <w:instrText xml:space="preserve"> CITATION XBR14 \l 1034 </w:instrText>
          </w:r>
          <w:r>
            <w:fldChar w:fldCharType="separate"/>
          </w:r>
          <w:r>
            <w:rPr>
              <w:noProof/>
              <w:lang w:val="es-ES_tradnl"/>
            </w:rPr>
            <w:t>(XBRL Specification)</w:t>
          </w:r>
          <w:r>
            <w:fldChar w:fldCharType="end"/>
          </w:r>
        </w:sdtContent>
      </w:sdt>
      <w:r>
        <w:t>.</w:t>
      </w:r>
    </w:p>
    <w:p w:rsidR="00771FC7" w:rsidRPr="00C83DEB" w:rsidRDefault="00771FC7" w:rsidP="00771FC7">
      <w:pPr>
        <w:pStyle w:val="Body"/>
        <w:numPr>
          <w:ilvl w:val="0"/>
          <w:numId w:val="6"/>
        </w:numPr>
        <w:rPr>
          <w:b/>
          <w:bCs/>
        </w:rPr>
      </w:pPr>
      <w:r w:rsidRPr="00C70F2A">
        <w:rPr>
          <w:b/>
          <w:bCs/>
        </w:rPr>
        <w:t>Licensing framework</w:t>
      </w:r>
      <w:r w:rsidRPr="00C70F2A">
        <w:t>: The EUPL is a class</w:t>
      </w:r>
      <w:r>
        <w:t xml:space="preserve"> 3 licence, give the rights to </w:t>
      </w:r>
      <w:r w:rsidRPr="00C70F2A">
        <w:t>use, redistribute, and modify via copy left.</w:t>
      </w:r>
    </w:p>
    <w:p w:rsidR="00771FC7" w:rsidRPr="00C70F2A" w:rsidRDefault="00771FC7" w:rsidP="00771FC7">
      <w:pPr>
        <w:pStyle w:val="Body"/>
        <w:numPr>
          <w:ilvl w:val="0"/>
          <w:numId w:val="12"/>
        </w:numPr>
      </w:pPr>
      <w:r w:rsidRPr="00C70F2A">
        <w:rPr>
          <w:b/>
          <w:bCs/>
        </w:rPr>
        <w:t>Quality controls:</w:t>
      </w:r>
      <w:r>
        <w:rPr>
          <w:b/>
          <w:bCs/>
        </w:rPr>
        <w:t xml:space="preserve"> </w:t>
      </w:r>
      <w:r>
        <w:rPr>
          <w:bCs/>
        </w:rPr>
        <w:t xml:space="preserve">Test cases are made public by EBA and EIOPA. XBRL Taxonomies are tested by National Supervisors and Software Vendors before publication. Drafts are also made public for comments. The main challenge is the lack of comprehensive test cases, as all the EBA and EIOPA information is confidential, and simulating actual business cases is too complex </w:t>
      </w:r>
      <w:sdt>
        <w:sdtPr>
          <w:rPr>
            <w:bCs/>
          </w:rPr>
          <w:id w:val="38388003"/>
          <w:citation/>
        </w:sdtPr>
        <w:sdtContent>
          <w:r>
            <w:rPr>
              <w:bCs/>
            </w:rPr>
            <w:fldChar w:fldCharType="begin"/>
          </w:r>
          <w:r>
            <w:rPr>
              <w:bCs/>
              <w:lang w:val="es-ES_tradnl"/>
            </w:rPr>
            <w:instrText xml:space="preserve"> CITATION Eur140123 \l 1034 </w:instrText>
          </w:r>
          <w:r>
            <w:rPr>
              <w:bCs/>
            </w:rPr>
            <w:fldChar w:fldCharType="separate"/>
          </w:r>
          <w:r>
            <w:rPr>
              <w:noProof/>
              <w:lang w:val="es-ES_tradnl"/>
            </w:rPr>
            <w:t>(Eurofiling Minutes, 2014)</w:t>
          </w:r>
          <w:r>
            <w:rPr>
              <w:bCs/>
            </w:rPr>
            <w:fldChar w:fldCharType="end"/>
          </w:r>
        </w:sdtContent>
      </w:sdt>
      <w:r>
        <w:rPr>
          <w:bCs/>
        </w:rPr>
        <w:t>.</w:t>
      </w:r>
    </w:p>
    <w:p w:rsidR="00771FC7" w:rsidRDefault="00771FC7" w:rsidP="00771FC7">
      <w:pPr>
        <w:spacing w:after="0"/>
        <w:jc w:val="left"/>
        <w:rPr>
          <w:rFonts w:ascii="Verdana" w:hAnsi="Verdana"/>
          <w:b/>
          <w:sz w:val="20"/>
          <w:lang w:val="en-GB"/>
        </w:rPr>
      </w:pPr>
      <w:r>
        <w:br w:type="page"/>
      </w:r>
    </w:p>
    <w:p w:rsidR="00771FC7" w:rsidRPr="00C70F2A" w:rsidRDefault="00771FC7" w:rsidP="00771FC7">
      <w:pPr>
        <w:pStyle w:val="Ttulo3"/>
      </w:pPr>
      <w:bookmarkStart w:id="3" w:name="_GoBack"/>
      <w:bookmarkEnd w:id="3"/>
      <w:r w:rsidRPr="00C70F2A">
        <w:lastRenderedPageBreak/>
        <w:t>Conformance mechanisms</w:t>
      </w:r>
    </w:p>
    <w:p w:rsidR="00771FC7" w:rsidRPr="00C70F2A" w:rsidRDefault="00771FC7" w:rsidP="00771FC7">
      <w:pPr>
        <w:pStyle w:val="Body"/>
        <w:numPr>
          <w:ilvl w:val="0"/>
          <w:numId w:val="14"/>
        </w:numPr>
      </w:pPr>
      <w:r w:rsidRPr="00D27093">
        <w:rPr>
          <w:b/>
          <w:bCs/>
        </w:rPr>
        <w:t>Application profile</w:t>
      </w:r>
      <w:r w:rsidRPr="00C70F2A">
        <w:t>:</w:t>
      </w:r>
      <w:r>
        <w:t xml:space="preserve"> </w:t>
      </w:r>
      <w:r w:rsidRPr="00AC5D46">
        <w:t>The Taxonomy is one particular IT representation of the D</w:t>
      </w:r>
      <w:r>
        <w:t xml:space="preserve">ata </w:t>
      </w:r>
      <w:r w:rsidRPr="00AC5D46">
        <w:t>P</w:t>
      </w:r>
      <w:r>
        <w:t xml:space="preserve">oint </w:t>
      </w:r>
      <w:r w:rsidRPr="00AC5D46">
        <w:t>M</w:t>
      </w:r>
      <w:r>
        <w:t>odel</w:t>
      </w:r>
      <w:r w:rsidRPr="00AC5D46">
        <w:t xml:space="preserve">, representing the requirements of the templates, instructions and wider text of the </w:t>
      </w:r>
      <w:proofErr w:type="gramStart"/>
      <w:r w:rsidRPr="00AC5D46">
        <w:t>ITS</w:t>
      </w:r>
      <w:proofErr w:type="gramEnd"/>
      <w:r w:rsidRPr="00AC5D46">
        <w:t xml:space="preserve"> as captured in the DPM. The definition of those requirements remains purely in the </w:t>
      </w:r>
      <w:proofErr w:type="gramStart"/>
      <w:r w:rsidRPr="00AC5D46">
        <w:t>ITS</w:t>
      </w:r>
      <w:proofErr w:type="gramEnd"/>
      <w:r w:rsidRPr="00AC5D46">
        <w:t>, with the detailed identification and classification of them expressed in the DPM</w:t>
      </w:r>
      <w:r>
        <w:t>.</w:t>
      </w:r>
    </w:p>
    <w:p w:rsidR="00771FC7" w:rsidRPr="00C70F2A" w:rsidRDefault="00771FC7" w:rsidP="00771FC7">
      <w:pPr>
        <w:pStyle w:val="Body"/>
        <w:numPr>
          <w:ilvl w:val="0"/>
          <w:numId w:val="14"/>
        </w:numPr>
      </w:pPr>
      <w:r w:rsidRPr="00D27093">
        <w:rPr>
          <w:b/>
          <w:bCs/>
        </w:rPr>
        <w:t>Validation mechanism</w:t>
      </w:r>
      <w:r w:rsidRPr="00C70F2A">
        <w:t>:</w:t>
      </w:r>
      <w:r>
        <w:t xml:space="preserve"> </w:t>
      </w:r>
      <w:r w:rsidRPr="00AC5D46">
        <w:t>To facilitate uniform implementation and avoid implementation problems, validation rules (quantitative relations between rows and columns of each template, and among templates) are included in the ITS. These have been translated into XBRL formula assertions.</w:t>
      </w:r>
      <w:r>
        <w:t xml:space="preserve"> Validations tools are common for any XBRL Taxonomy, as COREP, FINREP, </w:t>
      </w:r>
      <w:proofErr w:type="spellStart"/>
      <w:r>
        <w:t>Solovency</w:t>
      </w:r>
      <w:proofErr w:type="spellEnd"/>
      <w:r>
        <w:t xml:space="preserve"> II or </w:t>
      </w:r>
      <w:proofErr w:type="spellStart"/>
      <w:r>
        <w:t>xEBR</w:t>
      </w:r>
      <w:proofErr w:type="spellEnd"/>
      <w:r>
        <w:t>. A more or less updated list of industry solutions is public</w:t>
      </w:r>
      <w:r>
        <w:rPr>
          <w:rStyle w:val="Refdenotaalpie"/>
        </w:rPr>
        <w:footnoteReference w:id="1"/>
      </w:r>
      <w:r>
        <w:t xml:space="preserve"> along with several Open Source experiences</w:t>
      </w:r>
      <w:r>
        <w:rPr>
          <w:rStyle w:val="Refdenotaalpie"/>
        </w:rPr>
        <w:footnoteReference w:id="2"/>
      </w:r>
      <w:r>
        <w:t xml:space="preserve"> is public </w:t>
      </w:r>
      <w:sdt>
        <w:sdtPr>
          <w:id w:val="38388004"/>
          <w:citation/>
        </w:sdtPr>
        <w:sdtContent>
          <w:r>
            <w:fldChar w:fldCharType="begin"/>
          </w:r>
          <w:r>
            <w:rPr>
              <w:lang w:val="es-ES_tradnl"/>
            </w:rPr>
            <w:instrText xml:space="preserve"> CITATION Wik14 \l 1034 </w:instrText>
          </w:r>
          <w:r>
            <w:fldChar w:fldCharType="separate"/>
          </w:r>
          <w:r>
            <w:rPr>
              <w:noProof/>
              <w:lang w:val="es-ES_tradnl"/>
            </w:rPr>
            <w:t>(WikiXBRL)</w:t>
          </w:r>
          <w:r>
            <w:fldChar w:fldCharType="end"/>
          </w:r>
        </w:sdtContent>
      </w:sdt>
    </w:p>
    <w:p w:rsidR="00771FC7" w:rsidRPr="00C70F2A" w:rsidRDefault="00771FC7" w:rsidP="00771FC7">
      <w:pPr>
        <w:pStyle w:val="Body"/>
        <w:numPr>
          <w:ilvl w:val="0"/>
          <w:numId w:val="14"/>
        </w:numPr>
      </w:pPr>
    </w:p>
    <w:p w:rsidR="00771FC7" w:rsidRDefault="00771FC7" w:rsidP="00771FC7">
      <w:pPr>
        <w:pStyle w:val="Body"/>
        <w:numPr>
          <w:ilvl w:val="0"/>
          <w:numId w:val="14"/>
        </w:numPr>
      </w:pPr>
      <w:r w:rsidRPr="00D27093">
        <w:rPr>
          <w:b/>
          <w:bCs/>
        </w:rPr>
        <w:t>Conformance certification</w:t>
      </w:r>
      <w:r w:rsidRPr="00C70F2A">
        <w:t xml:space="preserve">: </w:t>
      </w:r>
      <w:r>
        <w:t>There are no mechanisms to certify that a system conforms to the EBA reporting requirements.</w:t>
      </w:r>
    </w:p>
    <w:p w:rsidR="00771FC7" w:rsidRPr="00C70F2A" w:rsidRDefault="00771FC7" w:rsidP="00771FC7">
      <w:pPr>
        <w:pStyle w:val="Ttulo3"/>
      </w:pPr>
      <w:r>
        <w:t>Security mechanisms</w:t>
      </w:r>
    </w:p>
    <w:p w:rsidR="00771FC7" w:rsidRPr="00C70F2A" w:rsidRDefault="00771FC7" w:rsidP="00771FC7">
      <w:pPr>
        <w:pStyle w:val="Body"/>
      </w:pPr>
      <w:r w:rsidRPr="00C70F2A">
        <w:t xml:space="preserve">The </w:t>
      </w:r>
      <w:r>
        <w:t>CEN Workshop on XBRL project (developed as part of the Eurofiling collaborative network)</w:t>
      </w:r>
      <w:r w:rsidRPr="00C70F2A">
        <w:t xml:space="preserve"> defines a</w:t>
      </w:r>
      <w:r>
        <w:t>n e-Document</w:t>
      </w:r>
      <w:r w:rsidRPr="00C70F2A">
        <w:t xml:space="preserve"> container format that allows to securely </w:t>
      </w:r>
      <w:proofErr w:type="gramStart"/>
      <w:r w:rsidRPr="00C70F2A">
        <w:t>transfer</w:t>
      </w:r>
      <w:proofErr w:type="gramEnd"/>
      <w:r w:rsidRPr="00C70F2A">
        <w:t xml:space="preserve"> structured and unstructured data.</w:t>
      </w:r>
      <w:r w:rsidRPr="00C70F2A">
        <w:rPr>
          <w:rStyle w:val="Refdenotaalpie"/>
        </w:rPr>
        <w:footnoteReference w:id="3"/>
      </w:r>
      <w:r>
        <w:t xml:space="preserve"> </w:t>
      </w:r>
      <w:r w:rsidRPr="00C70F2A">
        <w:t>Containers can be encrypted using W3C XML Encryption</w:t>
      </w:r>
      <w:r>
        <w:t xml:space="preserve">, which ensures the </w:t>
      </w:r>
      <w:r w:rsidRPr="00C83DEB">
        <w:rPr>
          <w:b/>
          <w:bCs/>
        </w:rPr>
        <w:t>confidentiality</w:t>
      </w:r>
      <w:r w:rsidRPr="00C70F2A">
        <w:t>. The data is encrypted with a symmetric algorithm (AES-256) with a generated secret key. The secret key is itself encrypte</w:t>
      </w:r>
      <w:r>
        <w:t xml:space="preserve">d with an asymmetric algorithm </w:t>
      </w:r>
      <w:r w:rsidRPr="00C70F2A">
        <w:t>(RSA-OAEP).</w:t>
      </w:r>
      <w:r>
        <w:t xml:space="preserve"> </w:t>
      </w:r>
      <w:r w:rsidRPr="00C70F2A">
        <w:t xml:space="preserve">An electronic signature with </w:t>
      </w:r>
      <w:proofErr w:type="spellStart"/>
      <w:r w:rsidRPr="00C70F2A">
        <w:t>XAdES</w:t>
      </w:r>
      <w:proofErr w:type="spellEnd"/>
      <w:r w:rsidRPr="00C70F2A">
        <w:t xml:space="preserve">-BES/EPES format can also be attached to the container. The signature algorithm used is RSA with a SHA512 hash. The scheme provides </w:t>
      </w:r>
      <w:r w:rsidRPr="002F22C4">
        <w:rPr>
          <w:b/>
        </w:rPr>
        <w:t>authentication</w:t>
      </w:r>
      <w:r w:rsidRPr="00C70F2A">
        <w:t xml:space="preserve">, </w:t>
      </w:r>
      <w:r w:rsidRPr="002F22C4">
        <w:rPr>
          <w:b/>
        </w:rPr>
        <w:t>integrity</w:t>
      </w:r>
      <w:r w:rsidRPr="00C70F2A">
        <w:t xml:space="preserve"> and </w:t>
      </w:r>
      <w:r w:rsidRPr="002F22C4">
        <w:rPr>
          <w:b/>
        </w:rPr>
        <w:t>non-repudiation of origin</w:t>
      </w:r>
      <w:r w:rsidRPr="00C70F2A">
        <w:t>.</w:t>
      </w:r>
    </w:p>
    <w:p w:rsidR="00771FC7" w:rsidRPr="00C70F2A" w:rsidRDefault="00771FC7" w:rsidP="00771FC7">
      <w:pPr>
        <w:pStyle w:val="Ttulo3"/>
      </w:pPr>
      <w:r w:rsidRPr="00C70F2A">
        <w:t>Usage</w:t>
      </w:r>
    </w:p>
    <w:p w:rsidR="00771FC7" w:rsidRDefault="00771FC7" w:rsidP="00771FC7">
      <w:pPr>
        <w:pStyle w:val="Body"/>
        <w:numPr>
          <w:ilvl w:val="0"/>
          <w:numId w:val="14"/>
        </w:numPr>
      </w:pPr>
      <w:r w:rsidRPr="001D1131">
        <w:rPr>
          <w:b/>
          <w:bCs/>
        </w:rPr>
        <w:t>Number of e-Document formats</w:t>
      </w:r>
      <w:r w:rsidRPr="001D1131">
        <w:t>:</w:t>
      </w:r>
      <w:r>
        <w:t xml:space="preserve"> 4 data formats (COREP, FINREP, SOLVENCY II, Business Registers)</w:t>
      </w:r>
      <w:r w:rsidRPr="00C70F2A">
        <w:t xml:space="preserve"> </w:t>
      </w:r>
    </w:p>
    <w:p w:rsidR="00771FC7" w:rsidRDefault="00771FC7" w:rsidP="00771FC7">
      <w:pPr>
        <w:pStyle w:val="Body"/>
        <w:numPr>
          <w:ilvl w:val="0"/>
          <w:numId w:val="14"/>
        </w:numPr>
      </w:pPr>
      <w:r>
        <w:rPr>
          <w:b/>
          <w:bCs/>
        </w:rPr>
        <w:t>Number of known implementations in production-grade software</w:t>
      </w:r>
      <w:r w:rsidRPr="006C3074">
        <w:t>:</w:t>
      </w:r>
      <w:r>
        <w:t xml:space="preserve"> about 10 commercial tools are available implementing the XBRL Taxonomies. The </w:t>
      </w:r>
      <w:proofErr w:type="spellStart"/>
      <w:r>
        <w:t>Openfiling</w:t>
      </w:r>
      <w:proofErr w:type="spellEnd"/>
      <w:r>
        <w:rPr>
          <w:rStyle w:val="Refdenotaalpie"/>
        </w:rPr>
        <w:footnoteReference w:id="4"/>
      </w:r>
      <w:r>
        <w:t xml:space="preserve"> provides additional open-source artefacts.</w:t>
      </w:r>
    </w:p>
    <w:p w:rsidR="00771FC7" w:rsidRPr="00AF19F9" w:rsidRDefault="00771FC7" w:rsidP="00771FC7">
      <w:pPr>
        <w:pStyle w:val="Body"/>
        <w:numPr>
          <w:ilvl w:val="0"/>
          <w:numId w:val="14"/>
        </w:numPr>
      </w:pPr>
      <w:r w:rsidRPr="00AF19F9">
        <w:rPr>
          <w:b/>
          <w:bCs/>
        </w:rPr>
        <w:lastRenderedPageBreak/>
        <w:t>Number of e-Documents formats exchanges annually</w:t>
      </w:r>
      <w:r w:rsidRPr="00AF19F9">
        <w:t xml:space="preserve">: </w:t>
      </w:r>
      <w:r>
        <w:t>In each country using XBRL, about 10,</w:t>
      </w:r>
      <w:r w:rsidRPr="00AF19F9">
        <w:t xml:space="preserve">000 </w:t>
      </w:r>
      <w:r>
        <w:t xml:space="preserve">for COREP and FINREP, and about </w:t>
      </w:r>
      <w:r w:rsidRPr="00AF19F9">
        <w:t>1</w:t>
      </w:r>
      <w:r>
        <w:t xml:space="preserve"> million for Business Registers</w:t>
      </w:r>
    </w:p>
    <w:p w:rsidR="00771FC7" w:rsidRDefault="00771FC7" w:rsidP="00771FC7">
      <w:pPr>
        <w:spacing w:after="0"/>
        <w:jc w:val="left"/>
        <w:rPr>
          <w:rFonts w:ascii="Verdana" w:hAnsi="Verdana"/>
          <w:b/>
          <w:sz w:val="20"/>
          <w:lang w:val="en-GB"/>
        </w:rPr>
      </w:pPr>
      <w:r>
        <w:br w:type="page"/>
      </w:r>
    </w:p>
    <w:p w:rsidR="00771FC7" w:rsidRPr="00C70F2A" w:rsidRDefault="00771FC7" w:rsidP="00771FC7">
      <w:pPr>
        <w:pStyle w:val="Ttulo3"/>
      </w:pPr>
      <w:r w:rsidRPr="00C70F2A">
        <w:lastRenderedPageBreak/>
        <w:t>Summary table</w:t>
      </w:r>
    </w:p>
    <w:p w:rsidR="00771FC7" w:rsidRPr="00C70F2A" w:rsidRDefault="00771FC7" w:rsidP="00771FC7">
      <w:pPr>
        <w:pStyle w:val="Epgrafe"/>
        <w:rPr>
          <w:rStyle w:val="Hipervnculo"/>
        </w:rPr>
      </w:pPr>
      <w:bookmarkStart w:id="4" w:name="_Toc378541955"/>
      <w:r w:rsidRPr="00C70F2A">
        <w:t xml:space="preserve">Table </w:t>
      </w:r>
      <w:fldSimple w:instr=" SEQ Table \* ARABIC ">
        <w:r>
          <w:rPr>
            <w:noProof/>
          </w:rPr>
          <w:t>1</w:t>
        </w:r>
      </w:fldSimple>
      <w:r w:rsidRPr="00C70F2A">
        <w:rPr>
          <w:noProof/>
        </w:rPr>
        <w:t xml:space="preserve"> - Description of Financial Reporting</w:t>
      </w:r>
      <w:bookmarkEnd w:id="4"/>
      <w:r>
        <w:rPr>
          <w:noProof/>
        </w:rPr>
        <w:t xml:space="preserve"> based on XBRL</w:t>
      </w:r>
    </w:p>
    <w:tbl>
      <w:tblPr>
        <w:tblStyle w:val="Tablaconcuadrcula"/>
        <w:tblW w:w="0" w:type="auto"/>
        <w:tblLook w:val="04A0"/>
      </w:tblPr>
      <w:tblGrid>
        <w:gridCol w:w="2453"/>
        <w:gridCol w:w="6601"/>
      </w:tblGrid>
      <w:tr w:rsidR="00771FC7" w:rsidRPr="00B160DD" w:rsidTr="00B05013">
        <w:trPr>
          <w:cnfStyle w:val="100000000000"/>
        </w:trPr>
        <w:tc>
          <w:tcPr>
            <w:tcW w:w="0" w:type="auto"/>
            <w:gridSpan w:val="2"/>
          </w:tcPr>
          <w:p w:rsidR="00771FC7" w:rsidRPr="00C70F2A" w:rsidRDefault="00771FC7" w:rsidP="00B05013">
            <w:pPr>
              <w:spacing w:before="120" w:after="120"/>
              <w:contextualSpacing w:val="0"/>
              <w:rPr>
                <w:lang w:val="en-GB"/>
              </w:rPr>
            </w:pPr>
            <w:r w:rsidRPr="00C70F2A">
              <w:rPr>
                <w:sz w:val="20"/>
                <w:lang w:val="en-GB"/>
              </w:rPr>
              <w:t>Financial Reporting based on XBRL</w:t>
            </w:r>
          </w:p>
        </w:tc>
      </w:tr>
      <w:tr w:rsidR="00771FC7" w:rsidRPr="00C70F2A" w:rsidTr="00B05013">
        <w:tc>
          <w:tcPr>
            <w:tcW w:w="0" w:type="auto"/>
            <w:gridSpan w:val="2"/>
          </w:tcPr>
          <w:p w:rsidR="00771FC7" w:rsidRPr="00C70F2A" w:rsidRDefault="00771FC7" w:rsidP="00B05013">
            <w:pPr>
              <w:spacing w:before="120" w:after="120"/>
              <w:contextualSpacing w:val="0"/>
              <w:rPr>
                <w:lang w:val="en-GB"/>
              </w:rPr>
            </w:pPr>
            <w:r w:rsidRPr="00C70F2A">
              <w:rPr>
                <w:b/>
                <w:sz w:val="20"/>
                <w:lang w:val="en-GB"/>
              </w:rPr>
              <w:t>DESCRIPTIVE METADATA</w:t>
            </w:r>
          </w:p>
        </w:tc>
      </w:tr>
      <w:tr w:rsidR="00771FC7" w:rsidRPr="00B160DD" w:rsidTr="00B05013">
        <w:tc>
          <w:tcPr>
            <w:tcW w:w="0" w:type="auto"/>
          </w:tcPr>
          <w:p w:rsidR="00771FC7" w:rsidRPr="00C70F2A" w:rsidRDefault="00771FC7" w:rsidP="00B05013">
            <w:pPr>
              <w:pStyle w:val="Default"/>
              <w:spacing w:before="120" w:after="120"/>
              <w:contextualSpacing w:val="0"/>
              <w:jc w:val="right"/>
              <w:rPr>
                <w:rFonts w:cs="Arial"/>
                <w:b/>
                <w:sz w:val="20"/>
                <w:szCs w:val="20"/>
              </w:rPr>
            </w:pPr>
            <w:r w:rsidRPr="00C70F2A">
              <w:rPr>
                <w:rFonts w:cs="Arial"/>
                <w:b/>
                <w:sz w:val="20"/>
                <w:szCs w:val="20"/>
              </w:rPr>
              <w:t>Licence</w:t>
            </w:r>
          </w:p>
        </w:tc>
        <w:tc>
          <w:tcPr>
            <w:tcW w:w="0" w:type="auto"/>
          </w:tcPr>
          <w:p w:rsidR="00771FC7" w:rsidRPr="00C70F2A" w:rsidRDefault="00771FC7" w:rsidP="00B05013">
            <w:pPr>
              <w:spacing w:before="120" w:after="120"/>
              <w:contextualSpacing w:val="0"/>
              <w:rPr>
                <w:sz w:val="20"/>
                <w:lang w:val="en-GB"/>
              </w:rPr>
            </w:pPr>
            <w:r w:rsidRPr="00C70F2A">
              <w:rPr>
                <w:sz w:val="20"/>
                <w:lang w:val="en-GB"/>
              </w:rPr>
              <w:t>European Union Public Licence</w:t>
            </w:r>
            <w:r w:rsidRPr="00C70F2A">
              <w:rPr>
                <w:rStyle w:val="Refdenotaalpie"/>
                <w:sz w:val="20"/>
                <w:lang w:val="en-GB"/>
              </w:rPr>
              <w:footnoteReference w:id="5"/>
            </w:r>
            <w:r>
              <w:rPr>
                <w:sz w:val="20"/>
                <w:lang w:val="en-GB"/>
              </w:rPr>
              <w:t xml:space="preserve"> </w:t>
            </w:r>
            <w:sdt>
              <w:sdtPr>
                <w:rPr>
                  <w:sz w:val="20"/>
                  <w:lang w:val="en-GB"/>
                </w:rPr>
                <w:id w:val="858471187"/>
                <w:citation/>
              </w:sdtPr>
              <w:sdtContent>
                <w:r>
                  <w:rPr>
                    <w:sz w:val="20"/>
                    <w:lang w:val="en-GB"/>
                  </w:rPr>
                  <w:fldChar w:fldCharType="begin"/>
                </w:r>
                <w:r>
                  <w:rPr>
                    <w:sz w:val="20"/>
                    <w:lang w:val="en-GB"/>
                  </w:rPr>
                  <w:instrText xml:space="preserve"> CITATION Eur111 \l 2057 </w:instrText>
                </w:r>
                <w:r>
                  <w:rPr>
                    <w:sz w:val="20"/>
                    <w:lang w:val="en-GB"/>
                  </w:rPr>
                  <w:fldChar w:fldCharType="separate"/>
                </w:r>
                <w:r w:rsidRPr="006E1CE4">
                  <w:rPr>
                    <w:noProof/>
                    <w:sz w:val="20"/>
                    <w:lang w:val="en-GB"/>
                  </w:rPr>
                  <w:t>(Eurofiling Initiative, 2011)</w:t>
                </w:r>
                <w:r>
                  <w:rPr>
                    <w:sz w:val="20"/>
                    <w:lang w:val="en-GB"/>
                  </w:rPr>
                  <w:fldChar w:fldCharType="end"/>
                </w:r>
              </w:sdtContent>
            </w:sdt>
          </w:p>
        </w:tc>
      </w:tr>
      <w:tr w:rsidR="00771FC7" w:rsidRPr="00B160DD" w:rsidTr="00B05013">
        <w:tc>
          <w:tcPr>
            <w:tcW w:w="0" w:type="auto"/>
          </w:tcPr>
          <w:p w:rsidR="00771FC7" w:rsidRPr="00C70F2A" w:rsidRDefault="00771FC7" w:rsidP="00B05013">
            <w:pPr>
              <w:pStyle w:val="Default"/>
              <w:spacing w:before="120" w:after="120"/>
              <w:contextualSpacing w:val="0"/>
              <w:jc w:val="right"/>
              <w:rPr>
                <w:rFonts w:cs="Arial"/>
                <w:b/>
                <w:sz w:val="20"/>
                <w:szCs w:val="20"/>
              </w:rPr>
            </w:pPr>
            <w:r w:rsidRPr="00C70F2A">
              <w:rPr>
                <w:rFonts w:cs="Arial"/>
                <w:b/>
                <w:sz w:val="20"/>
                <w:szCs w:val="20"/>
              </w:rPr>
              <w:t>Publisher</w:t>
            </w:r>
          </w:p>
        </w:tc>
        <w:tc>
          <w:tcPr>
            <w:tcW w:w="0" w:type="auto"/>
          </w:tcPr>
          <w:p w:rsidR="00771FC7" w:rsidRPr="00C70F2A" w:rsidRDefault="00771FC7" w:rsidP="00B05013">
            <w:pPr>
              <w:spacing w:before="120" w:after="120"/>
              <w:contextualSpacing w:val="0"/>
              <w:rPr>
                <w:sz w:val="20"/>
                <w:lang w:val="en-GB"/>
              </w:rPr>
            </w:pPr>
            <w:r w:rsidRPr="00360069">
              <w:rPr>
                <w:sz w:val="20"/>
                <w:lang w:val="en-GB"/>
              </w:rPr>
              <w:t>European Banking Authority (EBA)</w:t>
            </w:r>
            <w:r>
              <w:rPr>
                <w:sz w:val="20"/>
                <w:lang w:val="en-GB"/>
              </w:rPr>
              <w:t xml:space="preserve">, </w:t>
            </w:r>
            <w:r w:rsidRPr="001D1131">
              <w:rPr>
                <w:sz w:val="20"/>
                <w:lang w:val="en-GB"/>
              </w:rPr>
              <w:t>European Insurance and Occupational Pensions Authority (EIOPA)</w:t>
            </w:r>
          </w:p>
        </w:tc>
      </w:tr>
      <w:tr w:rsidR="00771FC7" w:rsidRPr="00C70F2A" w:rsidTr="00B05013">
        <w:tc>
          <w:tcPr>
            <w:tcW w:w="0" w:type="auto"/>
          </w:tcPr>
          <w:p w:rsidR="00771FC7" w:rsidRPr="00C70F2A" w:rsidRDefault="00771FC7" w:rsidP="00B05013">
            <w:pPr>
              <w:pStyle w:val="Default"/>
              <w:spacing w:before="120" w:after="120"/>
              <w:contextualSpacing w:val="0"/>
              <w:jc w:val="right"/>
              <w:rPr>
                <w:rFonts w:cs="Arial"/>
                <w:b/>
                <w:sz w:val="20"/>
                <w:szCs w:val="20"/>
              </w:rPr>
            </w:pPr>
            <w:r w:rsidRPr="00C70F2A">
              <w:rPr>
                <w:rFonts w:cs="Arial"/>
                <w:b/>
                <w:sz w:val="20"/>
                <w:szCs w:val="20"/>
              </w:rPr>
              <w:t>Publisher type</w:t>
            </w:r>
          </w:p>
        </w:tc>
        <w:tc>
          <w:tcPr>
            <w:tcW w:w="0" w:type="auto"/>
          </w:tcPr>
          <w:p w:rsidR="00771FC7" w:rsidRPr="00C70F2A" w:rsidRDefault="00771FC7" w:rsidP="00B05013">
            <w:pPr>
              <w:spacing w:before="120" w:after="120"/>
              <w:contextualSpacing w:val="0"/>
              <w:rPr>
                <w:sz w:val="20"/>
                <w:lang w:val="en-GB"/>
              </w:rPr>
            </w:pPr>
            <w:r w:rsidRPr="003252B6">
              <w:rPr>
                <w:sz w:val="20"/>
                <w:lang w:val="en-GB"/>
              </w:rPr>
              <w:t>Supra-national authority</w:t>
            </w:r>
          </w:p>
        </w:tc>
      </w:tr>
      <w:tr w:rsidR="00771FC7" w:rsidRPr="00C70F2A" w:rsidTr="00B05013">
        <w:tc>
          <w:tcPr>
            <w:tcW w:w="0" w:type="auto"/>
          </w:tcPr>
          <w:p w:rsidR="00771FC7" w:rsidRPr="00C70F2A" w:rsidRDefault="00771FC7" w:rsidP="00B05013">
            <w:pPr>
              <w:pStyle w:val="Body"/>
              <w:spacing w:before="120" w:line="240" w:lineRule="auto"/>
              <w:contextualSpacing w:val="0"/>
              <w:jc w:val="right"/>
              <w:rPr>
                <w:rFonts w:cs="Arial"/>
                <w:b/>
              </w:rPr>
            </w:pPr>
            <w:r w:rsidRPr="00C70F2A">
              <w:rPr>
                <w:b/>
              </w:rPr>
              <w:t>Theme(s)</w:t>
            </w:r>
          </w:p>
        </w:tc>
        <w:tc>
          <w:tcPr>
            <w:tcW w:w="0" w:type="auto"/>
          </w:tcPr>
          <w:p w:rsidR="00771FC7" w:rsidRPr="00C70F2A" w:rsidRDefault="00771FC7" w:rsidP="00B05013">
            <w:pPr>
              <w:spacing w:before="120" w:after="120"/>
              <w:contextualSpacing w:val="0"/>
              <w:rPr>
                <w:sz w:val="20"/>
                <w:lang w:val="en-GB"/>
              </w:rPr>
            </w:pPr>
            <w:r w:rsidRPr="00C70F2A">
              <w:rPr>
                <w:sz w:val="20"/>
                <w:lang w:val="en-GB"/>
              </w:rPr>
              <w:t xml:space="preserve">Finance </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Access URL</w:t>
            </w:r>
          </w:p>
        </w:tc>
        <w:tc>
          <w:tcPr>
            <w:tcW w:w="0" w:type="auto"/>
          </w:tcPr>
          <w:p w:rsidR="00771FC7" w:rsidRPr="00476BED" w:rsidRDefault="00771FC7" w:rsidP="00B05013">
            <w:pPr>
              <w:spacing w:before="120" w:after="120"/>
              <w:contextualSpacing w:val="0"/>
              <w:rPr>
                <w:sz w:val="20"/>
                <w:lang w:val="en-GB"/>
              </w:rPr>
            </w:pPr>
            <w:r w:rsidRPr="00476BED">
              <w:rPr>
                <w:sz w:val="20"/>
                <w:lang w:val="en-GB"/>
              </w:rPr>
              <w:t xml:space="preserve">FINREP: </w:t>
            </w:r>
            <w:hyperlink r:id="rId8" w:history="1">
              <w:r w:rsidRPr="00097B85">
                <w:rPr>
                  <w:rStyle w:val="Hipervnculo"/>
                  <w:sz w:val="20"/>
                  <w:lang w:val="en-GB"/>
                </w:rPr>
                <w:t>http://www.eurofiling.info/finrepTaxonomy/taxonomy.shtml</w:t>
              </w:r>
            </w:hyperlink>
          </w:p>
          <w:p w:rsidR="00771FC7" w:rsidRDefault="00771FC7" w:rsidP="00B05013">
            <w:pPr>
              <w:spacing w:before="120" w:after="120"/>
              <w:contextualSpacing w:val="0"/>
              <w:rPr>
                <w:rStyle w:val="Hipervnculo"/>
                <w:sz w:val="20"/>
                <w:lang w:val="en-GB"/>
              </w:rPr>
            </w:pPr>
            <w:r w:rsidRPr="00476BED">
              <w:rPr>
                <w:sz w:val="20"/>
                <w:lang w:val="en-GB"/>
              </w:rPr>
              <w:t xml:space="preserve">COREP: </w:t>
            </w:r>
            <w:hyperlink r:id="rId9" w:history="1">
              <w:r w:rsidRPr="00097B85">
                <w:rPr>
                  <w:rStyle w:val="Hipervnculo"/>
                  <w:sz w:val="20"/>
                  <w:lang w:val="en-GB"/>
                </w:rPr>
                <w:t>http://www.eurofiling.info/corepTaxonomy/taxonomy.shtml</w:t>
              </w:r>
            </w:hyperlink>
          </w:p>
          <w:p w:rsidR="00771FC7" w:rsidRPr="005C06F3" w:rsidRDefault="00771FC7" w:rsidP="00B05013">
            <w:pPr>
              <w:spacing w:before="120" w:after="120"/>
              <w:contextualSpacing w:val="0"/>
              <w:rPr>
                <w:color w:val="0000FF"/>
                <w:sz w:val="20"/>
                <w:lang w:val="en-GB"/>
              </w:rPr>
            </w:pPr>
            <w:r w:rsidRPr="005C06F3">
              <w:rPr>
                <w:rStyle w:val="Hipervnculo"/>
                <w:sz w:val="20"/>
                <w:lang w:val="en-GB"/>
              </w:rPr>
              <w:t xml:space="preserve">Solvency II: </w:t>
            </w:r>
            <w:hyperlink r:id="rId10" w:history="1">
              <w:r w:rsidRPr="005C06F3">
                <w:rPr>
                  <w:rStyle w:val="Hipervnculo"/>
                  <w:sz w:val="20"/>
                  <w:lang w:val="en-GB"/>
                </w:rPr>
                <w:t>http://www.eurofiling.info/solvencyII/index.shtml</w:t>
              </w:r>
            </w:hyperlink>
          </w:p>
        </w:tc>
      </w:tr>
      <w:tr w:rsidR="00771FC7" w:rsidRPr="00C70F2A" w:rsidTr="00B05013">
        <w:tc>
          <w:tcPr>
            <w:tcW w:w="0" w:type="auto"/>
            <w:gridSpan w:val="2"/>
          </w:tcPr>
          <w:p w:rsidR="00771FC7" w:rsidRPr="00C70F2A" w:rsidRDefault="00771FC7" w:rsidP="00B05013">
            <w:pPr>
              <w:spacing w:before="120" w:after="120"/>
              <w:contextualSpacing w:val="0"/>
              <w:rPr>
                <w:sz w:val="20"/>
                <w:lang w:val="en-GB"/>
              </w:rPr>
            </w:pPr>
            <w:r w:rsidRPr="00C70F2A">
              <w:rPr>
                <w:rFonts w:cs="Arial"/>
                <w:b/>
                <w:sz w:val="20"/>
                <w:lang w:val="en-GB"/>
              </w:rPr>
              <w:t>CONTEXT</w:t>
            </w:r>
          </w:p>
        </w:tc>
      </w:tr>
      <w:tr w:rsidR="00771FC7" w:rsidRPr="00B160DD" w:rsidTr="00B05013">
        <w:tc>
          <w:tcPr>
            <w:tcW w:w="0" w:type="auto"/>
          </w:tcPr>
          <w:p w:rsidR="00771FC7" w:rsidRPr="00C70F2A" w:rsidRDefault="00771FC7" w:rsidP="00B05013">
            <w:pPr>
              <w:pStyle w:val="Default"/>
              <w:spacing w:before="120" w:after="120"/>
              <w:contextualSpacing w:val="0"/>
              <w:jc w:val="right"/>
              <w:rPr>
                <w:rFonts w:cs="Arial"/>
                <w:b/>
                <w:sz w:val="20"/>
                <w:szCs w:val="20"/>
              </w:rPr>
            </w:pPr>
            <w:r w:rsidRPr="00C70F2A">
              <w:rPr>
                <w:rFonts w:cs="Arial"/>
                <w:b/>
                <w:sz w:val="20"/>
                <w:szCs w:val="20"/>
              </w:rPr>
              <w:t>Administrative process context</w:t>
            </w:r>
          </w:p>
        </w:tc>
        <w:tc>
          <w:tcPr>
            <w:tcW w:w="0" w:type="auto"/>
          </w:tcPr>
          <w:p w:rsidR="00771FC7" w:rsidRPr="00C70F2A" w:rsidRDefault="00771FC7" w:rsidP="00771FC7">
            <w:pPr>
              <w:pStyle w:val="Prrafodelista"/>
              <w:numPr>
                <w:ilvl w:val="0"/>
                <w:numId w:val="7"/>
              </w:numPr>
              <w:spacing w:before="120" w:after="120"/>
              <w:contextualSpacing w:val="0"/>
              <w:rPr>
                <w:rFonts w:ascii="Verdana" w:hAnsi="Verdana"/>
              </w:rPr>
            </w:pPr>
            <w:r w:rsidRPr="00C70F2A">
              <w:rPr>
                <w:rFonts w:ascii="Verdana" w:hAnsi="Verdana"/>
                <w:b/>
                <w:bCs/>
              </w:rPr>
              <w:t>COREP</w:t>
            </w:r>
            <w:r w:rsidRPr="00C70F2A">
              <w:rPr>
                <w:rFonts w:ascii="Verdana" w:hAnsi="Verdana"/>
              </w:rPr>
              <w:t xml:space="preserve">: </w:t>
            </w:r>
            <w:r>
              <w:rPr>
                <w:rFonts w:ascii="Verdana" w:hAnsi="Verdana"/>
              </w:rPr>
              <w:t xml:space="preserve">Financial institutions reporting their </w:t>
            </w:r>
            <w:r w:rsidRPr="00F85B68">
              <w:rPr>
                <w:rFonts w:ascii="Verdana" w:hAnsi="Verdana"/>
              </w:rPr>
              <w:t>credit risk, market risk, operational risk, own funds and capital adequacy ratios</w:t>
            </w:r>
            <w:r>
              <w:rPr>
                <w:rFonts w:ascii="Verdana" w:hAnsi="Verdana"/>
              </w:rPr>
              <w:t xml:space="preserve"> to national supervisors</w:t>
            </w:r>
          </w:p>
          <w:p w:rsidR="00771FC7" w:rsidRDefault="00771FC7" w:rsidP="00771FC7">
            <w:pPr>
              <w:pStyle w:val="Prrafodelista"/>
              <w:numPr>
                <w:ilvl w:val="0"/>
                <w:numId w:val="7"/>
              </w:numPr>
              <w:spacing w:before="120" w:after="120"/>
              <w:contextualSpacing w:val="0"/>
              <w:rPr>
                <w:rFonts w:ascii="Verdana" w:hAnsi="Verdana"/>
              </w:rPr>
            </w:pPr>
            <w:r w:rsidRPr="00C70F2A">
              <w:rPr>
                <w:rFonts w:ascii="Verdana" w:hAnsi="Verdana"/>
                <w:b/>
                <w:bCs/>
              </w:rPr>
              <w:t>FINREP</w:t>
            </w:r>
            <w:r w:rsidRPr="00C70F2A">
              <w:rPr>
                <w:rFonts w:ascii="Verdana" w:hAnsi="Verdana"/>
              </w:rPr>
              <w:t xml:space="preserve">: </w:t>
            </w:r>
            <w:r>
              <w:rPr>
                <w:rFonts w:ascii="Verdana" w:hAnsi="Verdana"/>
              </w:rPr>
              <w:t>Financial institutions reporting data concerning their balance sheet and income statement to their national supervisory authority</w:t>
            </w:r>
          </w:p>
          <w:p w:rsidR="00771FC7" w:rsidRPr="004E4EF1" w:rsidRDefault="00771FC7" w:rsidP="00771FC7">
            <w:pPr>
              <w:pStyle w:val="Prrafodelista"/>
              <w:numPr>
                <w:ilvl w:val="0"/>
                <w:numId w:val="7"/>
              </w:numPr>
              <w:spacing w:before="120" w:after="120"/>
              <w:contextualSpacing w:val="0"/>
              <w:rPr>
                <w:rFonts w:ascii="Verdana" w:hAnsi="Verdana"/>
              </w:rPr>
            </w:pPr>
            <w:r>
              <w:rPr>
                <w:rFonts w:ascii="Verdana" w:hAnsi="Verdana"/>
                <w:b/>
                <w:bCs/>
              </w:rPr>
              <w:t>Solvency II</w:t>
            </w:r>
            <w:r w:rsidRPr="001D1131">
              <w:rPr>
                <w:rFonts w:ascii="Verdana" w:hAnsi="Verdana"/>
              </w:rPr>
              <w:t>:</w:t>
            </w:r>
            <w:r>
              <w:rPr>
                <w:rFonts w:ascii="Verdana" w:hAnsi="Verdana"/>
              </w:rPr>
              <w:t xml:space="preserve"> </w:t>
            </w:r>
            <w:r w:rsidRPr="00AF19F9">
              <w:rPr>
                <w:rFonts w:ascii="Verdana" w:hAnsi="Verdana"/>
              </w:rPr>
              <w:t>Financial institutions reporting data concerning insurance and reinsurance undertakings</w:t>
            </w:r>
          </w:p>
        </w:tc>
      </w:tr>
      <w:tr w:rsidR="00771FC7" w:rsidRPr="00C70F2A" w:rsidTr="00B05013">
        <w:tc>
          <w:tcPr>
            <w:tcW w:w="0" w:type="auto"/>
          </w:tcPr>
          <w:p w:rsidR="00771FC7" w:rsidRPr="00C70F2A" w:rsidRDefault="00771FC7" w:rsidP="00B05013">
            <w:pPr>
              <w:pStyle w:val="Default"/>
              <w:spacing w:before="120" w:after="120"/>
              <w:contextualSpacing w:val="0"/>
              <w:jc w:val="right"/>
              <w:rPr>
                <w:rFonts w:cs="Arial"/>
                <w:b/>
                <w:sz w:val="20"/>
                <w:szCs w:val="20"/>
              </w:rPr>
            </w:pPr>
            <w:r w:rsidRPr="00C70F2A">
              <w:rPr>
                <w:rFonts w:cs="Arial"/>
                <w:b/>
                <w:sz w:val="20"/>
                <w:szCs w:val="20"/>
              </w:rPr>
              <w:t>Geopolitical context</w:t>
            </w:r>
          </w:p>
        </w:tc>
        <w:tc>
          <w:tcPr>
            <w:tcW w:w="0" w:type="auto"/>
          </w:tcPr>
          <w:p w:rsidR="00771FC7" w:rsidRPr="00C70F2A" w:rsidRDefault="00771FC7" w:rsidP="00B05013">
            <w:pPr>
              <w:spacing w:before="120" w:after="120"/>
              <w:contextualSpacing w:val="0"/>
              <w:rPr>
                <w:sz w:val="20"/>
                <w:lang w:val="en-GB"/>
              </w:rPr>
            </w:pPr>
            <w:r w:rsidRPr="00C70F2A">
              <w:rPr>
                <w:sz w:val="20"/>
                <w:lang w:val="en-GB"/>
              </w:rPr>
              <w:t>European Union</w:t>
            </w:r>
          </w:p>
        </w:tc>
      </w:tr>
      <w:tr w:rsidR="00771FC7" w:rsidRPr="00B160DD" w:rsidTr="00B05013">
        <w:tc>
          <w:tcPr>
            <w:tcW w:w="0" w:type="auto"/>
          </w:tcPr>
          <w:p w:rsidR="00771FC7" w:rsidRPr="00C70F2A" w:rsidRDefault="00771FC7" w:rsidP="00B05013">
            <w:pPr>
              <w:pStyle w:val="Default"/>
              <w:spacing w:before="120" w:after="120"/>
              <w:contextualSpacing w:val="0"/>
              <w:jc w:val="right"/>
              <w:rPr>
                <w:rFonts w:cs="Arial"/>
                <w:b/>
                <w:sz w:val="20"/>
                <w:szCs w:val="20"/>
              </w:rPr>
            </w:pPr>
            <w:r w:rsidRPr="00C70F2A">
              <w:rPr>
                <w:rFonts w:cs="Arial"/>
                <w:b/>
                <w:sz w:val="20"/>
                <w:szCs w:val="20"/>
              </w:rPr>
              <w:t>Legal context</w:t>
            </w:r>
          </w:p>
        </w:tc>
        <w:tc>
          <w:tcPr>
            <w:tcW w:w="0" w:type="auto"/>
          </w:tcPr>
          <w:p w:rsidR="00771FC7" w:rsidRDefault="00771FC7" w:rsidP="00771FC7">
            <w:pPr>
              <w:pStyle w:val="Prrafodelista"/>
              <w:numPr>
                <w:ilvl w:val="0"/>
                <w:numId w:val="9"/>
              </w:numPr>
              <w:spacing w:before="120" w:after="120"/>
              <w:contextualSpacing w:val="0"/>
              <w:rPr>
                <w:rFonts w:ascii="Verdana" w:hAnsi="Verdana"/>
              </w:rPr>
            </w:pPr>
            <w:r w:rsidRPr="00C70F2A">
              <w:rPr>
                <w:rFonts w:ascii="Verdana" w:hAnsi="Verdana"/>
                <w:b/>
                <w:bCs/>
              </w:rPr>
              <w:t>COREP</w:t>
            </w:r>
            <w:r w:rsidRPr="00C70F2A">
              <w:rPr>
                <w:rFonts w:ascii="Verdana" w:hAnsi="Verdana"/>
              </w:rPr>
              <w:t xml:space="preserve">: </w:t>
            </w:r>
            <w:r>
              <w:rPr>
                <w:rFonts w:ascii="Verdana" w:hAnsi="Verdana"/>
              </w:rPr>
              <w:t xml:space="preserve">Directive </w:t>
            </w:r>
            <w:hyperlink r:id="rId11" w:history="1">
              <w:r w:rsidRPr="004B2D39">
                <w:rPr>
                  <w:rStyle w:val="Hipervnculo"/>
                  <w:rFonts w:ascii="Verdana" w:hAnsi="Verdana"/>
                </w:rPr>
                <w:t>2006/48/EC</w:t>
              </w:r>
            </w:hyperlink>
            <w:r w:rsidRPr="004B2D39">
              <w:rPr>
                <w:rFonts w:ascii="Verdana" w:hAnsi="Verdana"/>
              </w:rPr>
              <w:t xml:space="preserve"> of the European Parliament and of the Council of 14 June 2006 relating to the taking up and pursuit of the business of credit institutions (</w:t>
            </w:r>
            <w:r>
              <w:rPr>
                <w:rFonts w:ascii="Verdana" w:hAnsi="Verdana"/>
              </w:rPr>
              <w:t>recast);</w:t>
            </w:r>
          </w:p>
          <w:p w:rsidR="00771FC7" w:rsidRDefault="00771FC7" w:rsidP="00B05013">
            <w:pPr>
              <w:pStyle w:val="Prrafodelista"/>
              <w:spacing w:before="120" w:after="120"/>
              <w:ind w:left="360"/>
              <w:contextualSpacing w:val="0"/>
              <w:rPr>
                <w:rFonts w:ascii="Verdana" w:hAnsi="Verdana"/>
              </w:rPr>
            </w:pPr>
            <w:r w:rsidRPr="001563C1">
              <w:rPr>
                <w:rFonts w:ascii="Verdana" w:hAnsi="Verdana"/>
              </w:rPr>
              <w:t xml:space="preserve">Directive </w:t>
            </w:r>
            <w:hyperlink r:id="rId12" w:history="1">
              <w:r w:rsidRPr="00CE4C3F">
                <w:rPr>
                  <w:rStyle w:val="Hipervnculo"/>
                  <w:rFonts w:ascii="Verdana" w:hAnsi="Verdana"/>
                </w:rPr>
                <w:t>2006/49/EC</w:t>
              </w:r>
            </w:hyperlink>
            <w:r w:rsidRPr="001563C1">
              <w:rPr>
                <w:rFonts w:ascii="Verdana" w:hAnsi="Verdana"/>
              </w:rPr>
              <w:t xml:space="preserve"> of the European Parliament and of the Council of 14 June 2006 on the capital adequacy of investment firms and credit institutions (recast)</w:t>
            </w:r>
          </w:p>
          <w:p w:rsidR="00771FC7" w:rsidRPr="00BC5651" w:rsidRDefault="00771FC7" w:rsidP="00771FC7">
            <w:pPr>
              <w:pStyle w:val="Prrafodelista"/>
              <w:numPr>
                <w:ilvl w:val="0"/>
                <w:numId w:val="9"/>
              </w:numPr>
              <w:spacing w:before="120" w:after="120"/>
              <w:contextualSpacing w:val="0"/>
              <w:rPr>
                <w:rFonts w:ascii="Verdana" w:hAnsi="Verdana"/>
                <w:bCs/>
              </w:rPr>
            </w:pPr>
            <w:r w:rsidRPr="00BC5651">
              <w:rPr>
                <w:rFonts w:ascii="Verdana" w:hAnsi="Verdana"/>
                <w:b/>
                <w:bCs/>
              </w:rPr>
              <w:t>FINREP</w:t>
            </w:r>
            <w:r w:rsidRPr="00BC5651">
              <w:rPr>
                <w:rFonts w:ascii="Verdana" w:hAnsi="Verdana"/>
              </w:rPr>
              <w:t xml:space="preserve">: International financial reporting standards </w:t>
            </w:r>
            <w:r w:rsidRPr="00BC5651">
              <w:rPr>
                <w:rFonts w:ascii="Verdana" w:hAnsi="Verdana"/>
              </w:rPr>
              <w:lastRenderedPageBreak/>
              <w:t xml:space="preserve">IAS/IFRS or Capital Requirements Directive </w:t>
            </w:r>
            <w:hyperlink r:id="rId13" w:history="1">
              <w:r w:rsidRPr="00BC5651">
                <w:rPr>
                  <w:rStyle w:val="Hipervnculo"/>
                  <w:rFonts w:ascii="Verdana" w:hAnsi="Verdana"/>
                </w:rPr>
                <w:t>2006/48/EC</w:t>
              </w:r>
            </w:hyperlink>
            <w:r w:rsidRPr="00BC5651">
              <w:rPr>
                <w:bCs/>
              </w:rPr>
              <w:t>.</w:t>
            </w:r>
          </w:p>
          <w:p w:rsidR="00771FC7" w:rsidRPr="00C70F2A" w:rsidRDefault="00771FC7" w:rsidP="00771FC7">
            <w:pPr>
              <w:pStyle w:val="Prrafodelista"/>
              <w:numPr>
                <w:ilvl w:val="0"/>
                <w:numId w:val="9"/>
              </w:numPr>
              <w:spacing w:before="120" w:after="120"/>
              <w:contextualSpacing w:val="0"/>
              <w:rPr>
                <w:rFonts w:ascii="Verdana" w:hAnsi="Verdana"/>
              </w:rPr>
            </w:pPr>
            <w:r w:rsidRPr="00BC5651">
              <w:rPr>
                <w:rFonts w:ascii="Verdana" w:hAnsi="Verdana"/>
                <w:b/>
              </w:rPr>
              <w:t>ITS</w:t>
            </w:r>
            <w:r>
              <w:rPr>
                <w:rFonts w:ascii="Verdana" w:hAnsi="Verdana"/>
                <w:bCs/>
              </w:rPr>
              <w:t xml:space="preserve">: </w:t>
            </w:r>
            <w:r w:rsidRPr="00655775">
              <w:rPr>
                <w:rFonts w:ascii="Verdana" w:hAnsi="Verdana"/>
                <w:bCs/>
              </w:rPr>
              <w:t xml:space="preserve">Regulation (EU) </w:t>
            </w:r>
            <w:hyperlink r:id="rId14" w:history="1">
              <w:r w:rsidRPr="00CE4C3F">
                <w:rPr>
                  <w:rStyle w:val="Hipervnculo"/>
                  <w:rFonts w:ascii="Verdana" w:hAnsi="Verdana"/>
                  <w:bCs/>
                </w:rPr>
                <w:t>No 575/2013</w:t>
              </w:r>
            </w:hyperlink>
            <w:r w:rsidRPr="00655775">
              <w:rPr>
                <w:rFonts w:ascii="Verdana" w:hAnsi="Verdana"/>
                <w:bCs/>
              </w:rPr>
              <w:t xml:space="preserve"> of the European Parliament and of the Council of 26 June 2013 on prudential requirements for credit institutions and investment firms and amending Regulation (EU) No 648/2012 (colloquially known as Capital Requirements Regulation or CRR).</w:t>
            </w:r>
          </w:p>
        </w:tc>
      </w:tr>
      <w:tr w:rsidR="00771FC7" w:rsidRPr="00C70F2A" w:rsidTr="00B05013">
        <w:tc>
          <w:tcPr>
            <w:tcW w:w="0" w:type="auto"/>
            <w:gridSpan w:val="2"/>
          </w:tcPr>
          <w:p w:rsidR="00771FC7" w:rsidRPr="00C70F2A" w:rsidRDefault="00771FC7" w:rsidP="00B05013">
            <w:pPr>
              <w:spacing w:before="120" w:after="120"/>
              <w:contextualSpacing w:val="0"/>
              <w:rPr>
                <w:sz w:val="20"/>
                <w:lang w:val="en-GB"/>
              </w:rPr>
            </w:pPr>
            <w:r w:rsidRPr="00C70F2A">
              <w:rPr>
                <w:b/>
                <w:sz w:val="20"/>
                <w:lang w:val="en-GB"/>
              </w:rPr>
              <w:lastRenderedPageBreak/>
              <w:t>DOCUMENT ENGINEERING METHODOLOGY</w:t>
            </w:r>
          </w:p>
        </w:tc>
      </w:tr>
      <w:tr w:rsidR="00771FC7" w:rsidRPr="00B160DD" w:rsidTr="00B05013">
        <w:tc>
          <w:tcPr>
            <w:tcW w:w="0" w:type="auto"/>
          </w:tcPr>
          <w:p w:rsidR="00771FC7" w:rsidRPr="00C70F2A" w:rsidRDefault="00771FC7" w:rsidP="00B05013">
            <w:pPr>
              <w:pStyle w:val="Default"/>
              <w:spacing w:before="120" w:after="120"/>
              <w:contextualSpacing w:val="0"/>
              <w:jc w:val="right"/>
              <w:rPr>
                <w:b/>
                <w:sz w:val="20"/>
              </w:rPr>
            </w:pPr>
            <w:r w:rsidRPr="00C70F2A">
              <w:rPr>
                <w:rFonts w:cs="Arial"/>
                <w:b/>
                <w:sz w:val="20"/>
                <w:szCs w:val="20"/>
              </w:rPr>
              <w:t>Methodology</w:t>
            </w:r>
          </w:p>
        </w:tc>
        <w:tc>
          <w:tcPr>
            <w:tcW w:w="0" w:type="auto"/>
          </w:tcPr>
          <w:p w:rsidR="00771FC7" w:rsidRPr="00C70F2A" w:rsidRDefault="00771FC7" w:rsidP="00B05013">
            <w:pPr>
              <w:spacing w:before="120" w:after="120"/>
              <w:contextualSpacing w:val="0"/>
              <w:rPr>
                <w:sz w:val="20"/>
                <w:lang w:val="en-GB"/>
              </w:rPr>
            </w:pPr>
            <w:r w:rsidRPr="00C70F2A">
              <w:rPr>
                <w:sz w:val="20"/>
                <w:lang w:val="en-GB"/>
              </w:rPr>
              <w:t xml:space="preserve">Data Point </w:t>
            </w:r>
            <w:r>
              <w:rPr>
                <w:sz w:val="20"/>
                <w:lang w:val="en-GB"/>
              </w:rPr>
              <w:t xml:space="preserve">Model Methodology </w:t>
            </w:r>
            <w:sdt>
              <w:sdtPr>
                <w:rPr>
                  <w:sz w:val="20"/>
                </w:rPr>
                <w:id w:val="1638135545"/>
                <w:citation/>
              </w:sdtPr>
              <w:sdtContent>
                <w:r w:rsidRPr="00BC5651">
                  <w:rPr>
                    <w:sz w:val="20"/>
                  </w:rPr>
                  <w:fldChar w:fldCharType="begin"/>
                </w:r>
                <w:r w:rsidRPr="00BC5651">
                  <w:rPr>
                    <w:sz w:val="20"/>
                    <w:lang w:val="en-GB"/>
                  </w:rPr>
                  <w:instrText xml:space="preserve"> CITATION CEN13 \l 2057 </w:instrText>
                </w:r>
                <w:r w:rsidRPr="00BC5651">
                  <w:rPr>
                    <w:sz w:val="20"/>
                  </w:rPr>
                  <w:fldChar w:fldCharType="separate"/>
                </w:r>
                <w:r w:rsidRPr="006E1CE4">
                  <w:rPr>
                    <w:noProof/>
                    <w:sz w:val="20"/>
                    <w:lang w:val="en-GB"/>
                  </w:rPr>
                  <w:t>(CEN/WS XBRL, 2013)</w:t>
                </w:r>
                <w:r w:rsidRPr="00BC5651">
                  <w:rPr>
                    <w:sz w:val="20"/>
                  </w:rPr>
                  <w:fldChar w:fldCharType="end"/>
                </w:r>
              </w:sdtContent>
            </w:sdt>
          </w:p>
        </w:tc>
      </w:tr>
      <w:tr w:rsidR="00771FC7" w:rsidRPr="00C70F2A" w:rsidTr="00B05013">
        <w:tc>
          <w:tcPr>
            <w:tcW w:w="0" w:type="auto"/>
          </w:tcPr>
          <w:p w:rsidR="00771FC7" w:rsidRPr="00C70F2A" w:rsidRDefault="00771FC7" w:rsidP="00B05013">
            <w:pPr>
              <w:pStyle w:val="Default"/>
              <w:spacing w:before="120" w:after="120"/>
              <w:contextualSpacing w:val="0"/>
              <w:jc w:val="right"/>
              <w:rPr>
                <w:b/>
                <w:sz w:val="20"/>
              </w:rPr>
            </w:pPr>
            <w:r w:rsidRPr="00C70F2A">
              <w:rPr>
                <w:b/>
                <w:sz w:val="20"/>
              </w:rPr>
              <w:t xml:space="preserve">Library of data </w:t>
            </w:r>
            <w:r w:rsidRPr="00C70F2A">
              <w:rPr>
                <w:rFonts w:cs="Arial"/>
                <w:b/>
                <w:sz w:val="20"/>
                <w:szCs w:val="20"/>
              </w:rPr>
              <w:t>elements</w:t>
            </w:r>
          </w:p>
        </w:tc>
        <w:tc>
          <w:tcPr>
            <w:tcW w:w="0" w:type="auto"/>
          </w:tcPr>
          <w:p w:rsidR="00771FC7" w:rsidRPr="00C70F2A" w:rsidRDefault="00771FC7" w:rsidP="00B05013">
            <w:pPr>
              <w:spacing w:before="120" w:after="120"/>
              <w:contextualSpacing w:val="0"/>
              <w:rPr>
                <w:sz w:val="20"/>
                <w:lang w:val="en-GB"/>
              </w:rPr>
            </w:pPr>
            <w:r w:rsidRPr="00814442">
              <w:rPr>
                <w:sz w:val="20"/>
                <w:lang w:val="en-GB"/>
              </w:rPr>
              <w:t>Data Point Model</w:t>
            </w:r>
          </w:p>
        </w:tc>
      </w:tr>
      <w:tr w:rsidR="00771FC7" w:rsidRPr="00B160DD" w:rsidTr="00B05013">
        <w:tc>
          <w:tcPr>
            <w:tcW w:w="0" w:type="auto"/>
          </w:tcPr>
          <w:p w:rsidR="00771FC7" w:rsidRPr="00C70F2A" w:rsidRDefault="00771FC7" w:rsidP="00B05013">
            <w:pPr>
              <w:pStyle w:val="Default"/>
              <w:spacing w:before="120" w:after="120"/>
              <w:contextualSpacing w:val="0"/>
              <w:jc w:val="right"/>
              <w:rPr>
                <w:b/>
                <w:sz w:val="20"/>
              </w:rPr>
            </w:pPr>
            <w:r w:rsidRPr="00C70F2A">
              <w:rPr>
                <w:b/>
                <w:sz w:val="20"/>
              </w:rPr>
              <w:t xml:space="preserve">Naming and </w:t>
            </w:r>
            <w:r w:rsidRPr="00C70F2A">
              <w:rPr>
                <w:rFonts w:cs="Arial"/>
                <w:b/>
                <w:sz w:val="20"/>
                <w:szCs w:val="20"/>
              </w:rPr>
              <w:t>Design</w:t>
            </w:r>
            <w:r w:rsidRPr="00C70F2A">
              <w:rPr>
                <w:b/>
                <w:sz w:val="20"/>
              </w:rPr>
              <w:t xml:space="preserve"> Rules</w:t>
            </w:r>
          </w:p>
        </w:tc>
        <w:tc>
          <w:tcPr>
            <w:tcW w:w="0" w:type="auto"/>
          </w:tcPr>
          <w:p w:rsidR="00771FC7" w:rsidRPr="00814442" w:rsidRDefault="00771FC7" w:rsidP="00B05013">
            <w:pPr>
              <w:spacing w:before="120" w:after="120"/>
              <w:contextualSpacing w:val="0"/>
              <w:rPr>
                <w:sz w:val="20"/>
                <w:lang w:val="en-GB"/>
              </w:rPr>
            </w:pPr>
            <w:r>
              <w:rPr>
                <w:sz w:val="20"/>
                <w:lang w:val="en-GB"/>
              </w:rPr>
              <w:t>N</w:t>
            </w:r>
            <w:r w:rsidRPr="00814442">
              <w:rPr>
                <w:sz w:val="20"/>
                <w:lang w:val="en-GB"/>
              </w:rPr>
              <w:t>aming and design rules of the XBRL specification</w:t>
            </w:r>
          </w:p>
        </w:tc>
      </w:tr>
      <w:tr w:rsidR="00771FC7" w:rsidRPr="00C70F2A" w:rsidTr="00B05013">
        <w:tc>
          <w:tcPr>
            <w:tcW w:w="0" w:type="auto"/>
          </w:tcPr>
          <w:p w:rsidR="00771FC7" w:rsidRPr="00C70F2A" w:rsidRDefault="00771FC7" w:rsidP="00B05013">
            <w:pPr>
              <w:pStyle w:val="Default"/>
              <w:spacing w:before="120" w:after="120"/>
              <w:contextualSpacing w:val="0"/>
              <w:jc w:val="right"/>
              <w:rPr>
                <w:b/>
                <w:sz w:val="20"/>
              </w:rPr>
            </w:pPr>
            <w:r w:rsidRPr="00C70F2A">
              <w:rPr>
                <w:b/>
                <w:sz w:val="20"/>
              </w:rPr>
              <w:t>e-Document engineering tools</w:t>
            </w:r>
          </w:p>
        </w:tc>
        <w:tc>
          <w:tcPr>
            <w:tcW w:w="0" w:type="auto"/>
          </w:tcPr>
          <w:p w:rsidR="00771FC7" w:rsidRPr="00C70F2A" w:rsidRDefault="00771FC7" w:rsidP="00B05013">
            <w:pPr>
              <w:spacing w:before="120" w:after="120"/>
              <w:contextualSpacing w:val="0"/>
              <w:rPr>
                <w:sz w:val="20"/>
                <w:lang w:val="en-GB"/>
              </w:rPr>
            </w:pPr>
            <w:r>
              <w:rPr>
                <w:sz w:val="20"/>
                <w:lang w:val="en-GB"/>
              </w:rPr>
              <w:t>Unspecific</w:t>
            </w:r>
          </w:p>
        </w:tc>
      </w:tr>
      <w:tr w:rsidR="00771FC7" w:rsidRPr="00C70F2A" w:rsidTr="00B05013">
        <w:tc>
          <w:tcPr>
            <w:tcW w:w="0" w:type="auto"/>
          </w:tcPr>
          <w:p w:rsidR="00771FC7" w:rsidRPr="00C70F2A" w:rsidRDefault="00771FC7" w:rsidP="00B05013">
            <w:pPr>
              <w:pStyle w:val="Default"/>
              <w:spacing w:before="120" w:after="120"/>
              <w:contextualSpacing w:val="0"/>
              <w:jc w:val="right"/>
              <w:rPr>
                <w:b/>
                <w:sz w:val="20"/>
              </w:rPr>
            </w:pPr>
            <w:r w:rsidRPr="00C70F2A">
              <w:rPr>
                <w:b/>
                <w:sz w:val="20"/>
              </w:rPr>
              <w:t>Representation techniques</w:t>
            </w:r>
          </w:p>
        </w:tc>
        <w:tc>
          <w:tcPr>
            <w:tcW w:w="0" w:type="auto"/>
          </w:tcPr>
          <w:p w:rsidR="00771FC7" w:rsidRPr="00C70F2A" w:rsidRDefault="00771FC7" w:rsidP="00B05013">
            <w:pPr>
              <w:spacing w:before="120" w:after="120"/>
              <w:contextualSpacing w:val="0"/>
              <w:rPr>
                <w:sz w:val="20"/>
                <w:lang w:val="en-GB"/>
              </w:rPr>
            </w:pPr>
            <w:r>
              <w:rPr>
                <w:sz w:val="20"/>
                <w:lang w:val="en-GB"/>
              </w:rPr>
              <w:t>XBRL Taxonomy,</w:t>
            </w:r>
            <w:r w:rsidRPr="00C70F2A">
              <w:rPr>
                <w:sz w:val="20"/>
                <w:lang w:val="en-GB"/>
              </w:rPr>
              <w:t xml:space="preserve"> XML Schema</w:t>
            </w:r>
          </w:p>
        </w:tc>
      </w:tr>
      <w:tr w:rsidR="00771FC7" w:rsidRPr="00C70F2A" w:rsidTr="00B05013">
        <w:tc>
          <w:tcPr>
            <w:tcW w:w="0" w:type="auto"/>
            <w:gridSpan w:val="2"/>
          </w:tcPr>
          <w:p w:rsidR="00771FC7" w:rsidRPr="00C70F2A" w:rsidRDefault="00771FC7" w:rsidP="00B05013">
            <w:pPr>
              <w:spacing w:before="120" w:after="120"/>
              <w:contextualSpacing w:val="0"/>
              <w:rPr>
                <w:sz w:val="20"/>
                <w:lang w:val="en-GB"/>
              </w:rPr>
            </w:pPr>
            <w:r w:rsidRPr="00C70F2A">
              <w:rPr>
                <w:b/>
                <w:sz w:val="20"/>
                <w:lang w:val="en-GB"/>
              </w:rPr>
              <w:t>GOVERNANCE MECHANISMS</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Goals</w:t>
            </w:r>
          </w:p>
        </w:tc>
        <w:tc>
          <w:tcPr>
            <w:tcW w:w="0" w:type="auto"/>
          </w:tcPr>
          <w:p w:rsidR="00771FC7" w:rsidRPr="00C70F2A" w:rsidRDefault="00771FC7" w:rsidP="00771FC7">
            <w:pPr>
              <w:pStyle w:val="Prrafodelista"/>
              <w:numPr>
                <w:ilvl w:val="0"/>
                <w:numId w:val="8"/>
              </w:numPr>
              <w:spacing w:before="120" w:after="120"/>
              <w:contextualSpacing w:val="0"/>
              <w:rPr>
                <w:rFonts w:ascii="Verdana" w:hAnsi="Verdana"/>
                <w:bCs/>
                <w:szCs w:val="16"/>
              </w:rPr>
            </w:pPr>
            <w:r w:rsidRPr="00C70F2A">
              <w:rPr>
                <w:rFonts w:ascii="Verdana" w:hAnsi="Verdana"/>
                <w:b/>
                <w:szCs w:val="16"/>
              </w:rPr>
              <w:t>COREP</w:t>
            </w:r>
            <w:r w:rsidRPr="00C70F2A">
              <w:rPr>
                <w:rFonts w:ascii="Verdana" w:hAnsi="Verdana"/>
                <w:bCs/>
                <w:szCs w:val="16"/>
              </w:rPr>
              <w:t>: Create a harmonised business model for the European solvency reporting requirements.</w:t>
            </w:r>
          </w:p>
          <w:p w:rsidR="00771FC7" w:rsidRDefault="00771FC7" w:rsidP="00771FC7">
            <w:pPr>
              <w:pStyle w:val="Prrafodelista"/>
              <w:numPr>
                <w:ilvl w:val="0"/>
                <w:numId w:val="8"/>
              </w:numPr>
              <w:spacing w:before="120" w:after="120"/>
              <w:contextualSpacing w:val="0"/>
              <w:rPr>
                <w:rFonts w:ascii="Verdana" w:hAnsi="Verdana"/>
                <w:bCs/>
                <w:szCs w:val="16"/>
              </w:rPr>
            </w:pPr>
            <w:r w:rsidRPr="00C70F2A">
              <w:rPr>
                <w:rFonts w:ascii="Verdana" w:hAnsi="Verdana"/>
                <w:b/>
                <w:szCs w:val="16"/>
              </w:rPr>
              <w:t>FINREP</w:t>
            </w:r>
            <w:r w:rsidRPr="00C70F2A">
              <w:rPr>
                <w:rFonts w:ascii="Verdana" w:hAnsi="Verdana"/>
                <w:bCs/>
                <w:szCs w:val="16"/>
              </w:rPr>
              <w:t>: Use standardized data formats and data definitions for prudential reporting in all countries.</w:t>
            </w:r>
          </w:p>
          <w:p w:rsidR="00771FC7" w:rsidRPr="00C70F2A" w:rsidRDefault="00771FC7" w:rsidP="00771FC7">
            <w:pPr>
              <w:pStyle w:val="Prrafodelista"/>
              <w:numPr>
                <w:ilvl w:val="0"/>
                <w:numId w:val="8"/>
              </w:numPr>
              <w:spacing w:before="120" w:after="120"/>
              <w:contextualSpacing w:val="0"/>
              <w:rPr>
                <w:rFonts w:ascii="Verdana" w:hAnsi="Verdana"/>
                <w:bCs/>
                <w:szCs w:val="16"/>
              </w:rPr>
            </w:pPr>
            <w:r>
              <w:rPr>
                <w:rFonts w:ascii="Verdana" w:hAnsi="Verdana"/>
                <w:b/>
                <w:szCs w:val="16"/>
              </w:rPr>
              <w:t>Solvency II</w:t>
            </w:r>
            <w:r w:rsidRPr="001D1131">
              <w:rPr>
                <w:rFonts w:ascii="Verdana" w:hAnsi="Verdana"/>
                <w:bCs/>
                <w:szCs w:val="16"/>
              </w:rPr>
              <w:t>:</w:t>
            </w:r>
            <w:r w:rsidRPr="001D1131">
              <w:rPr>
                <w:rFonts w:ascii="Verdana" w:hAnsi="Verdana"/>
                <w:bCs/>
                <w:color w:val="92D050"/>
                <w:szCs w:val="16"/>
              </w:rPr>
              <w:t xml:space="preserve"> </w:t>
            </w:r>
            <w:r w:rsidRPr="00AF19F9">
              <w:rPr>
                <w:rFonts w:ascii="Verdana" w:hAnsi="Verdana"/>
                <w:bCs/>
                <w:szCs w:val="16"/>
              </w:rPr>
              <w:t>Create a harmonised supervisory system in insurance.</w:t>
            </w:r>
          </w:p>
        </w:tc>
      </w:tr>
      <w:tr w:rsidR="00771FC7" w:rsidRPr="00C70F2A"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Change management</w:t>
            </w:r>
          </w:p>
        </w:tc>
        <w:tc>
          <w:tcPr>
            <w:tcW w:w="0" w:type="auto"/>
          </w:tcPr>
          <w:p w:rsidR="00771FC7" w:rsidRPr="00FB3ABA" w:rsidRDefault="00771FC7" w:rsidP="00771FC7">
            <w:pPr>
              <w:pStyle w:val="Prrafodelista"/>
              <w:numPr>
                <w:ilvl w:val="0"/>
                <w:numId w:val="2"/>
              </w:numPr>
              <w:spacing w:before="120" w:after="120"/>
              <w:contextualSpacing w:val="0"/>
              <w:rPr>
                <w:rFonts w:ascii="Verdana" w:hAnsi="Verdana"/>
                <w:bCs/>
              </w:rPr>
            </w:pPr>
            <w:r w:rsidRPr="00C70F2A">
              <w:rPr>
                <w:rFonts w:ascii="Verdana" w:hAnsi="Verdana"/>
                <w:b/>
              </w:rPr>
              <w:t xml:space="preserve">Organisational roles: </w:t>
            </w:r>
          </w:p>
          <w:p w:rsidR="00771FC7" w:rsidRPr="00FB3ABA" w:rsidRDefault="00771FC7" w:rsidP="00B05013">
            <w:pPr>
              <w:spacing w:before="120" w:after="120"/>
              <w:ind w:left="360"/>
              <w:contextualSpacing w:val="0"/>
              <w:rPr>
                <w:rFonts w:ascii="Verdana" w:hAnsi="Verdana"/>
                <w:bCs/>
              </w:rPr>
            </w:pPr>
            <w:r w:rsidRPr="00FB3ABA">
              <w:rPr>
                <w:rFonts w:ascii="Verdana" w:hAnsi="Verdana"/>
              </w:rPr>
              <w:t xml:space="preserve">XBRL Europe, </w:t>
            </w:r>
            <w:r w:rsidRPr="00FB3ABA">
              <w:rPr>
                <w:rFonts w:ascii="Verdana" w:hAnsi="Verdana"/>
                <w:bCs/>
              </w:rPr>
              <w:t>Eurofiling: open discussions</w:t>
            </w:r>
            <w:r>
              <w:rPr>
                <w:bCs/>
              </w:rPr>
              <w:t xml:space="preserve"> and contributions</w:t>
            </w:r>
          </w:p>
          <w:p w:rsidR="00771FC7" w:rsidRPr="00C70F2A" w:rsidRDefault="00771FC7" w:rsidP="00B05013">
            <w:pPr>
              <w:pStyle w:val="Prrafodelista"/>
              <w:spacing w:before="120" w:after="120"/>
              <w:ind w:left="360"/>
              <w:contextualSpacing w:val="0"/>
              <w:rPr>
                <w:rFonts w:ascii="Verdana" w:hAnsi="Verdana"/>
                <w:bCs/>
              </w:rPr>
            </w:pPr>
            <w:r>
              <w:rPr>
                <w:rFonts w:ascii="Verdana" w:hAnsi="Verdana"/>
                <w:bCs/>
              </w:rPr>
              <w:t>EBA and EIOPA: formal development, communication and publication of the changes</w:t>
            </w:r>
          </w:p>
          <w:p w:rsidR="00771FC7" w:rsidRPr="00C83DEB" w:rsidRDefault="00771FC7" w:rsidP="00771FC7">
            <w:pPr>
              <w:pStyle w:val="Prrafodelista"/>
              <w:numPr>
                <w:ilvl w:val="0"/>
                <w:numId w:val="2"/>
              </w:numPr>
              <w:spacing w:before="120" w:after="120"/>
              <w:contextualSpacing w:val="0"/>
              <w:rPr>
                <w:rFonts w:ascii="Verdana" w:hAnsi="Verdana"/>
                <w:bCs/>
              </w:rPr>
            </w:pPr>
            <w:r>
              <w:rPr>
                <w:rFonts w:ascii="Verdana" w:hAnsi="Verdana"/>
                <w:b/>
              </w:rPr>
              <w:t xml:space="preserve">Decision making process: </w:t>
            </w:r>
            <w:r>
              <w:rPr>
                <w:rFonts w:ascii="Verdana" w:hAnsi="Verdana"/>
                <w:bCs/>
              </w:rPr>
              <w:t>Publication of new editions of data formats for review under unique URL. They are published on the mailing list and discussed using conference calls. Once approved, the official URLs are updated.</w:t>
            </w:r>
          </w:p>
          <w:p w:rsidR="00771FC7" w:rsidRPr="00C70F2A" w:rsidRDefault="00771FC7" w:rsidP="00771FC7">
            <w:pPr>
              <w:pStyle w:val="Prrafodelista"/>
              <w:numPr>
                <w:ilvl w:val="0"/>
                <w:numId w:val="2"/>
              </w:numPr>
              <w:spacing w:before="120" w:after="120"/>
              <w:contextualSpacing w:val="0"/>
              <w:rPr>
                <w:rFonts w:ascii="Verdana" w:hAnsi="Verdana"/>
                <w:b/>
              </w:rPr>
            </w:pPr>
            <w:r w:rsidRPr="00C70F2A">
              <w:rPr>
                <w:rFonts w:ascii="Verdana" w:hAnsi="Verdana"/>
                <w:b/>
              </w:rPr>
              <w:t xml:space="preserve">Documentation: </w:t>
            </w:r>
            <w:r w:rsidRPr="00C70F2A">
              <w:rPr>
                <w:rFonts w:ascii="Verdana" w:hAnsi="Verdana"/>
                <w:bCs/>
                <w:highlight w:val="yellow"/>
              </w:rPr>
              <w:t>no information found</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Enforcement policy</w:t>
            </w:r>
          </w:p>
        </w:tc>
        <w:tc>
          <w:tcPr>
            <w:tcW w:w="0" w:type="auto"/>
          </w:tcPr>
          <w:p w:rsidR="00771FC7" w:rsidRPr="00F46727" w:rsidRDefault="00771FC7" w:rsidP="00771FC7">
            <w:pPr>
              <w:pStyle w:val="Prrafodelista"/>
              <w:numPr>
                <w:ilvl w:val="0"/>
                <w:numId w:val="3"/>
              </w:numPr>
              <w:spacing w:before="120" w:after="120"/>
              <w:contextualSpacing w:val="0"/>
              <w:rPr>
                <w:rFonts w:ascii="Verdana" w:hAnsi="Verdana"/>
              </w:rPr>
            </w:pPr>
            <w:r w:rsidRPr="00C70F2A">
              <w:rPr>
                <w:rFonts w:ascii="Verdana" w:hAnsi="Verdana"/>
                <w:b/>
                <w:bCs/>
              </w:rPr>
              <w:t>Sharing</w:t>
            </w:r>
            <w:r>
              <w:rPr>
                <w:rFonts w:ascii="Verdana" w:hAnsi="Verdana"/>
                <w:b/>
                <w:bCs/>
              </w:rPr>
              <w:t xml:space="preserve"> and reuse</w:t>
            </w:r>
            <w:r w:rsidRPr="00C70F2A">
              <w:rPr>
                <w:rFonts w:ascii="Verdana" w:hAnsi="Verdana"/>
                <w:b/>
                <w:bCs/>
              </w:rPr>
              <w:t xml:space="preserve">: </w:t>
            </w:r>
            <w:r>
              <w:rPr>
                <w:rFonts w:ascii="Verdana" w:hAnsi="Verdana"/>
              </w:rPr>
              <w:t xml:space="preserve">National decision on first level </w:t>
            </w:r>
            <w:r>
              <w:rPr>
                <w:rFonts w:ascii="Verdana" w:hAnsi="Verdana"/>
              </w:rPr>
              <w:lastRenderedPageBreak/>
              <w:t>(primary reporting between reporting entities and National authorities); mandatory on second level (between National authorities and European authorities)</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lastRenderedPageBreak/>
              <w:t>Authoritative source</w:t>
            </w:r>
          </w:p>
        </w:tc>
        <w:tc>
          <w:tcPr>
            <w:tcW w:w="0" w:type="auto"/>
          </w:tcPr>
          <w:p w:rsidR="00771FC7" w:rsidRPr="00980F0D" w:rsidRDefault="00771FC7" w:rsidP="00771FC7">
            <w:pPr>
              <w:pStyle w:val="Prrafodelista"/>
              <w:numPr>
                <w:ilvl w:val="0"/>
                <w:numId w:val="3"/>
              </w:numPr>
              <w:spacing w:before="120" w:after="120"/>
              <w:contextualSpacing w:val="0"/>
              <w:rPr>
                <w:rFonts w:ascii="Verdana" w:hAnsi="Verdana"/>
                <w:bCs/>
              </w:rPr>
            </w:pPr>
            <w:r w:rsidRPr="00980F0D">
              <w:rPr>
                <w:rFonts w:ascii="Verdana" w:hAnsi="Verdana"/>
                <w:b/>
                <w:szCs w:val="20"/>
              </w:rPr>
              <w:t>ITS</w:t>
            </w:r>
            <w:r w:rsidRPr="00980F0D">
              <w:rPr>
                <w:rFonts w:ascii="Verdana" w:hAnsi="Verdana"/>
                <w:bCs/>
                <w:szCs w:val="20"/>
              </w:rPr>
              <w:t xml:space="preserve">: </w:t>
            </w:r>
            <w:r w:rsidRPr="00980F0D">
              <w:rPr>
                <w:rFonts w:ascii="Verdana" w:hAnsi="Verdana"/>
                <w:szCs w:val="20"/>
              </w:rPr>
              <w:t>Official Journal of the European Union</w:t>
            </w:r>
            <w:r w:rsidRPr="00980F0D">
              <w:rPr>
                <w:rFonts w:ascii="Verdana" w:hAnsi="Verdana"/>
                <w:bCs/>
                <w:szCs w:val="20"/>
              </w:rPr>
              <w:t xml:space="preserve"> (pending) </w:t>
            </w:r>
          </w:p>
          <w:p w:rsidR="00771FC7" w:rsidRPr="00980F0D" w:rsidRDefault="00771FC7" w:rsidP="00771FC7">
            <w:pPr>
              <w:pStyle w:val="Prrafodelista"/>
              <w:numPr>
                <w:ilvl w:val="0"/>
                <w:numId w:val="3"/>
              </w:numPr>
              <w:spacing w:before="120" w:after="120"/>
              <w:contextualSpacing w:val="0"/>
              <w:rPr>
                <w:bCs/>
                <w:szCs w:val="20"/>
              </w:rPr>
            </w:pPr>
            <w:r>
              <w:rPr>
                <w:rFonts w:ascii="Verdana" w:hAnsi="Verdana"/>
                <w:b/>
                <w:szCs w:val="20"/>
              </w:rPr>
              <w:t xml:space="preserve">COREP, </w:t>
            </w:r>
            <w:r w:rsidRPr="00980F0D">
              <w:rPr>
                <w:rFonts w:ascii="Verdana" w:hAnsi="Verdana"/>
                <w:b/>
                <w:szCs w:val="20"/>
              </w:rPr>
              <w:t>FINREP</w:t>
            </w:r>
            <w:r>
              <w:rPr>
                <w:rFonts w:ascii="Verdana" w:hAnsi="Verdana"/>
                <w:b/>
                <w:szCs w:val="20"/>
              </w:rPr>
              <w:t xml:space="preserve"> and Solvency II</w:t>
            </w:r>
            <w:r w:rsidRPr="00980F0D">
              <w:rPr>
                <w:rFonts w:ascii="Verdana" w:hAnsi="Verdana"/>
                <w:bCs/>
                <w:szCs w:val="20"/>
              </w:rPr>
              <w:t xml:space="preserve">: </w:t>
            </w:r>
            <w:r>
              <w:rPr>
                <w:rFonts w:ascii="Verdana" w:hAnsi="Verdana"/>
                <w:bCs/>
                <w:szCs w:val="20"/>
              </w:rPr>
              <w:t xml:space="preserve">EBA, EIOPA, </w:t>
            </w:r>
            <w:r w:rsidRPr="00980F0D">
              <w:rPr>
                <w:rFonts w:ascii="Verdana" w:hAnsi="Verdana"/>
                <w:bCs/>
                <w:szCs w:val="20"/>
              </w:rPr>
              <w:t xml:space="preserve">Eurofiling </w:t>
            </w:r>
            <w:r>
              <w:rPr>
                <w:rFonts w:ascii="Verdana" w:hAnsi="Verdana"/>
                <w:bCs/>
                <w:szCs w:val="20"/>
              </w:rPr>
              <w:t xml:space="preserve">and XBRL </w:t>
            </w:r>
            <w:r w:rsidRPr="00980F0D">
              <w:rPr>
                <w:rFonts w:ascii="Verdana" w:hAnsi="Verdana"/>
                <w:bCs/>
                <w:szCs w:val="20"/>
              </w:rPr>
              <w:t>repository of XBRL taxonomies and modules</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Licensing framework</w:t>
            </w:r>
          </w:p>
        </w:tc>
        <w:tc>
          <w:tcPr>
            <w:tcW w:w="0" w:type="auto"/>
          </w:tcPr>
          <w:p w:rsidR="00771FC7" w:rsidRPr="00C70F2A" w:rsidRDefault="00771FC7" w:rsidP="00B05013">
            <w:pPr>
              <w:spacing w:before="120" w:after="120"/>
              <w:contextualSpacing w:val="0"/>
              <w:rPr>
                <w:lang w:val="en-GB"/>
              </w:rPr>
            </w:pPr>
            <w:r w:rsidRPr="00C70F2A">
              <w:rPr>
                <w:b/>
                <w:bCs/>
                <w:sz w:val="20"/>
                <w:szCs w:val="16"/>
                <w:lang w:val="en-GB"/>
              </w:rPr>
              <w:t xml:space="preserve">Class 3: </w:t>
            </w:r>
            <w:r w:rsidRPr="00BA4304">
              <w:rPr>
                <w:sz w:val="20"/>
                <w:szCs w:val="16"/>
                <w:lang w:val="en-GB"/>
              </w:rPr>
              <w:t>Free to use, redistribute, and modify via copy left licence</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Quality controls</w:t>
            </w:r>
          </w:p>
        </w:tc>
        <w:tc>
          <w:tcPr>
            <w:tcW w:w="0" w:type="auto"/>
          </w:tcPr>
          <w:p w:rsidR="00771FC7" w:rsidRPr="00216AA8" w:rsidRDefault="00771FC7" w:rsidP="00B05013">
            <w:pPr>
              <w:spacing w:before="120" w:after="120"/>
              <w:contextualSpacing w:val="0"/>
              <w:rPr>
                <w:sz w:val="20"/>
                <w:szCs w:val="16"/>
                <w:lang w:val="en-GB"/>
              </w:rPr>
            </w:pPr>
            <w:r w:rsidRPr="00216AA8">
              <w:rPr>
                <w:sz w:val="20"/>
                <w:szCs w:val="16"/>
                <w:lang w:val="en-GB"/>
              </w:rPr>
              <w:t>Quality Control Process for Taxonomy Development</w:t>
            </w:r>
          </w:p>
        </w:tc>
      </w:tr>
      <w:tr w:rsidR="00771FC7" w:rsidRPr="00C70F2A" w:rsidTr="00B05013">
        <w:tc>
          <w:tcPr>
            <w:tcW w:w="0" w:type="auto"/>
            <w:gridSpan w:val="2"/>
          </w:tcPr>
          <w:p w:rsidR="00771FC7" w:rsidRPr="00C70F2A" w:rsidRDefault="00771FC7" w:rsidP="00B05013">
            <w:pPr>
              <w:spacing w:before="120" w:after="120"/>
              <w:contextualSpacing w:val="0"/>
              <w:rPr>
                <w:b/>
                <w:sz w:val="20"/>
                <w:lang w:val="en-GB"/>
              </w:rPr>
            </w:pPr>
            <w:r w:rsidRPr="00C70F2A">
              <w:rPr>
                <w:b/>
                <w:sz w:val="20"/>
                <w:lang w:val="en-GB"/>
              </w:rPr>
              <w:t>CONFORMANCE AND SECURITY MECHANISMS</w:t>
            </w:r>
          </w:p>
        </w:tc>
      </w:tr>
      <w:tr w:rsidR="00771FC7" w:rsidRPr="00771FC7" w:rsidDel="000C1718"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Conformance mechanism</w:t>
            </w:r>
          </w:p>
        </w:tc>
        <w:tc>
          <w:tcPr>
            <w:tcW w:w="0" w:type="auto"/>
          </w:tcPr>
          <w:p w:rsidR="00771FC7" w:rsidRPr="00771FC7" w:rsidRDefault="00771FC7" w:rsidP="00771FC7">
            <w:pPr>
              <w:pStyle w:val="Prrafodelista"/>
              <w:numPr>
                <w:ilvl w:val="0"/>
                <w:numId w:val="4"/>
              </w:numPr>
              <w:spacing w:before="120" w:after="120"/>
              <w:contextualSpacing w:val="0"/>
              <w:rPr>
                <w:rFonts w:ascii="Verdana" w:hAnsi="Verdana"/>
                <w:b/>
              </w:rPr>
            </w:pPr>
            <w:r w:rsidRPr="00771FC7">
              <w:rPr>
                <w:rFonts w:ascii="Verdana" w:hAnsi="Verdana"/>
                <w:b/>
              </w:rPr>
              <w:t xml:space="preserve">Application profile: </w:t>
            </w:r>
            <w:r w:rsidRPr="00771FC7">
              <w:rPr>
                <w:rFonts w:ascii="Verdana" w:hAnsi="Verdana"/>
              </w:rPr>
              <w:t>XBRL</w:t>
            </w:r>
          </w:p>
          <w:p w:rsidR="00771FC7" w:rsidRPr="00771FC7" w:rsidRDefault="00771FC7" w:rsidP="00771FC7">
            <w:pPr>
              <w:pStyle w:val="Prrafodelista"/>
              <w:numPr>
                <w:ilvl w:val="0"/>
                <w:numId w:val="4"/>
              </w:numPr>
              <w:spacing w:before="120" w:after="120"/>
              <w:contextualSpacing w:val="0"/>
              <w:rPr>
                <w:rFonts w:ascii="Verdana" w:hAnsi="Verdana"/>
              </w:rPr>
            </w:pPr>
            <w:r w:rsidRPr="00771FC7">
              <w:rPr>
                <w:rFonts w:ascii="Verdana" w:hAnsi="Verdana"/>
                <w:b/>
              </w:rPr>
              <w:t xml:space="preserve">Validation: </w:t>
            </w:r>
            <w:r w:rsidRPr="00771FC7">
              <w:rPr>
                <w:rFonts w:ascii="Verdana" w:hAnsi="Verdana"/>
                <w:bCs/>
              </w:rPr>
              <w:t xml:space="preserve">Validation rules in ITS; </w:t>
            </w:r>
            <w:r w:rsidRPr="00771FC7">
              <w:rPr>
                <w:rFonts w:ascii="Verdana" w:hAnsi="Verdana"/>
              </w:rPr>
              <w:t>XBRL Validation Tools: Market driven</w:t>
            </w:r>
            <w:r w:rsidRPr="00771FC7">
              <w:t xml:space="preserve"> </w:t>
            </w:r>
            <w:sdt>
              <w:sdtPr>
                <w:id w:val="38388005"/>
                <w:citation/>
              </w:sdtPr>
              <w:sdtContent>
                <w:r w:rsidRPr="00771FC7">
                  <w:fldChar w:fldCharType="begin"/>
                </w:r>
                <w:r w:rsidRPr="00771FC7">
                  <w:rPr>
                    <w:lang w:val="es-ES_tradnl"/>
                  </w:rPr>
                  <w:instrText xml:space="preserve"> CITATION Wik14 \l 1034 </w:instrText>
                </w:r>
                <w:r w:rsidRPr="00771FC7">
                  <w:fldChar w:fldCharType="separate"/>
                </w:r>
                <w:r w:rsidRPr="00771FC7">
                  <w:rPr>
                    <w:noProof/>
                    <w:lang w:val="es-ES_tradnl"/>
                  </w:rPr>
                  <w:t>(WikiXBRL)</w:t>
                </w:r>
                <w:r w:rsidRPr="00771FC7">
                  <w:fldChar w:fldCharType="end"/>
                </w:r>
              </w:sdtContent>
            </w:sdt>
          </w:p>
          <w:p w:rsidR="00771FC7" w:rsidRPr="00771FC7" w:rsidDel="000C1718" w:rsidRDefault="00771FC7" w:rsidP="00771FC7">
            <w:pPr>
              <w:pStyle w:val="Prrafodelista"/>
              <w:numPr>
                <w:ilvl w:val="0"/>
                <w:numId w:val="4"/>
              </w:numPr>
              <w:spacing w:before="120" w:after="120"/>
              <w:contextualSpacing w:val="0"/>
              <w:rPr>
                <w:rFonts w:ascii="Verdana" w:hAnsi="Verdana"/>
              </w:rPr>
            </w:pPr>
            <w:r w:rsidRPr="00771FC7">
              <w:rPr>
                <w:rFonts w:ascii="Verdana" w:hAnsi="Verdana"/>
                <w:b/>
              </w:rPr>
              <w:t xml:space="preserve">Conformance certification: </w:t>
            </w:r>
            <w:r w:rsidRPr="00771FC7">
              <w:rPr>
                <w:rFonts w:ascii="Verdana" w:hAnsi="Verdana"/>
              </w:rPr>
              <w:t>Nonexistent</w:t>
            </w:r>
          </w:p>
        </w:tc>
      </w:tr>
      <w:tr w:rsidR="00771FC7" w:rsidRPr="00C70F2A" w:rsidDel="000C1718"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Security mechanism</w:t>
            </w:r>
          </w:p>
        </w:tc>
        <w:tc>
          <w:tcPr>
            <w:tcW w:w="0" w:type="auto"/>
          </w:tcPr>
          <w:p w:rsidR="00771FC7" w:rsidRPr="00C70F2A" w:rsidRDefault="00771FC7" w:rsidP="00771FC7">
            <w:pPr>
              <w:pStyle w:val="Prrafodelista"/>
              <w:numPr>
                <w:ilvl w:val="0"/>
                <w:numId w:val="5"/>
              </w:numPr>
              <w:spacing w:before="120" w:after="120"/>
              <w:contextualSpacing w:val="0"/>
              <w:rPr>
                <w:rFonts w:ascii="Verdana" w:hAnsi="Verdana"/>
                <w:b/>
              </w:rPr>
            </w:pPr>
            <w:r w:rsidRPr="00C70F2A">
              <w:rPr>
                <w:rFonts w:ascii="Verdana" w:hAnsi="Verdana"/>
                <w:b/>
              </w:rPr>
              <w:t xml:space="preserve">Authentication: </w:t>
            </w:r>
            <w:r>
              <w:rPr>
                <w:rFonts w:ascii="Verdana" w:hAnsi="Verdana"/>
              </w:rPr>
              <w:t>Electronic signature to container</w:t>
            </w:r>
          </w:p>
          <w:p w:rsidR="00771FC7" w:rsidRPr="00C70F2A" w:rsidRDefault="00771FC7" w:rsidP="00771FC7">
            <w:pPr>
              <w:pStyle w:val="Prrafodelista"/>
              <w:numPr>
                <w:ilvl w:val="0"/>
                <w:numId w:val="5"/>
              </w:numPr>
              <w:spacing w:before="120" w:after="120"/>
              <w:contextualSpacing w:val="0"/>
              <w:rPr>
                <w:rFonts w:ascii="Verdana" w:hAnsi="Verdana"/>
                <w:b/>
              </w:rPr>
            </w:pPr>
            <w:r w:rsidRPr="00C70F2A">
              <w:rPr>
                <w:rFonts w:ascii="Verdana" w:hAnsi="Verdana"/>
                <w:b/>
              </w:rPr>
              <w:t xml:space="preserve">Integrity: </w:t>
            </w:r>
            <w:r>
              <w:rPr>
                <w:rFonts w:ascii="Verdana" w:hAnsi="Verdana"/>
              </w:rPr>
              <w:t>Electronic signature to container</w:t>
            </w:r>
          </w:p>
          <w:p w:rsidR="00771FC7" w:rsidRPr="00C70F2A" w:rsidRDefault="00771FC7" w:rsidP="00771FC7">
            <w:pPr>
              <w:pStyle w:val="Prrafodelista"/>
              <w:numPr>
                <w:ilvl w:val="0"/>
                <w:numId w:val="5"/>
              </w:numPr>
              <w:spacing w:before="120" w:after="120"/>
              <w:contextualSpacing w:val="0"/>
              <w:rPr>
                <w:rFonts w:ascii="Verdana" w:hAnsi="Verdana"/>
                <w:b/>
              </w:rPr>
            </w:pPr>
            <w:r w:rsidRPr="00C70F2A">
              <w:rPr>
                <w:rFonts w:ascii="Verdana" w:hAnsi="Verdana"/>
                <w:b/>
              </w:rPr>
              <w:t xml:space="preserve">Confidentiality: </w:t>
            </w:r>
            <w:r>
              <w:rPr>
                <w:rFonts w:ascii="Verdana" w:hAnsi="Verdana"/>
              </w:rPr>
              <w:t>Encrypted containers (W3C XML Encryption)</w:t>
            </w:r>
          </w:p>
          <w:p w:rsidR="00771FC7" w:rsidRPr="00C70F2A" w:rsidDel="000C1718" w:rsidRDefault="00771FC7" w:rsidP="00771FC7">
            <w:pPr>
              <w:pStyle w:val="Prrafodelista"/>
              <w:numPr>
                <w:ilvl w:val="0"/>
                <w:numId w:val="5"/>
              </w:numPr>
              <w:spacing w:before="120" w:after="120"/>
              <w:contextualSpacing w:val="0"/>
              <w:rPr>
                <w:rFonts w:ascii="Verdana" w:hAnsi="Verdana"/>
                <w:b/>
              </w:rPr>
            </w:pPr>
            <w:r w:rsidRPr="00C70F2A">
              <w:rPr>
                <w:rFonts w:ascii="Verdana" w:hAnsi="Verdana"/>
                <w:b/>
              </w:rPr>
              <w:t xml:space="preserve">Non-repudiation: </w:t>
            </w:r>
            <w:r>
              <w:rPr>
                <w:rFonts w:ascii="Verdana" w:hAnsi="Verdana"/>
              </w:rPr>
              <w:t>Electronic signature to container</w:t>
            </w:r>
          </w:p>
        </w:tc>
      </w:tr>
      <w:tr w:rsidR="00771FC7" w:rsidRPr="00C70F2A" w:rsidTr="00B05013">
        <w:tc>
          <w:tcPr>
            <w:tcW w:w="0" w:type="auto"/>
            <w:gridSpan w:val="2"/>
          </w:tcPr>
          <w:p w:rsidR="00771FC7" w:rsidRPr="00C70F2A" w:rsidRDefault="00771FC7" w:rsidP="00B05013">
            <w:pPr>
              <w:spacing w:before="120" w:after="120"/>
              <w:contextualSpacing w:val="0"/>
              <w:rPr>
                <w:sz w:val="20"/>
                <w:lang w:val="en-GB"/>
              </w:rPr>
            </w:pPr>
            <w:r w:rsidRPr="00C70F2A">
              <w:rPr>
                <w:b/>
                <w:sz w:val="20"/>
                <w:lang w:val="en-GB"/>
              </w:rPr>
              <w:t>USAGE</w:t>
            </w:r>
          </w:p>
        </w:tc>
      </w:tr>
      <w:tr w:rsidR="00771FC7" w:rsidRPr="00B160DD"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Number of e-Document formats</w:t>
            </w:r>
          </w:p>
        </w:tc>
        <w:tc>
          <w:tcPr>
            <w:tcW w:w="0" w:type="auto"/>
          </w:tcPr>
          <w:p w:rsidR="00771FC7" w:rsidRPr="00C70F2A" w:rsidRDefault="00771FC7" w:rsidP="00B05013">
            <w:pPr>
              <w:spacing w:before="120" w:after="120"/>
              <w:contextualSpacing w:val="0"/>
              <w:rPr>
                <w:sz w:val="20"/>
                <w:lang w:val="en-GB"/>
              </w:rPr>
            </w:pPr>
            <w:r>
              <w:rPr>
                <w:sz w:val="20"/>
                <w:lang w:val="en-GB"/>
              </w:rPr>
              <w:t>4 (COREP, FINREP, Solvency II, XBRL Europe Business Registers)</w:t>
            </w:r>
          </w:p>
        </w:tc>
      </w:tr>
      <w:tr w:rsidR="00771FC7" w:rsidRPr="00391EC4"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Number of known implementations in production-grade software</w:t>
            </w:r>
          </w:p>
        </w:tc>
        <w:tc>
          <w:tcPr>
            <w:tcW w:w="0" w:type="auto"/>
          </w:tcPr>
          <w:p w:rsidR="00771FC7" w:rsidRPr="006E1CE4" w:rsidRDefault="00771FC7" w:rsidP="00B05013">
            <w:pPr>
              <w:spacing w:before="120" w:after="120"/>
              <w:contextualSpacing w:val="0"/>
              <w:rPr>
                <w:sz w:val="20"/>
                <w:lang w:val="en-GB"/>
              </w:rPr>
            </w:pPr>
            <w:r w:rsidRPr="006E1CE4">
              <w:rPr>
                <w:sz w:val="20"/>
                <w:lang w:val="en-GB"/>
              </w:rPr>
              <w:t>30 commercial tools</w:t>
            </w:r>
          </w:p>
        </w:tc>
      </w:tr>
      <w:tr w:rsidR="00771FC7" w:rsidRPr="00C70F2A" w:rsidTr="00B05013">
        <w:tc>
          <w:tcPr>
            <w:tcW w:w="0" w:type="auto"/>
          </w:tcPr>
          <w:p w:rsidR="00771FC7" w:rsidRPr="00C70F2A" w:rsidRDefault="00771FC7" w:rsidP="00B05013">
            <w:pPr>
              <w:pStyle w:val="Body"/>
              <w:spacing w:before="120" w:line="240" w:lineRule="auto"/>
              <w:contextualSpacing w:val="0"/>
              <w:jc w:val="right"/>
              <w:rPr>
                <w:b/>
              </w:rPr>
            </w:pPr>
            <w:r w:rsidRPr="00C70F2A">
              <w:rPr>
                <w:b/>
              </w:rPr>
              <w:t>Number of e-Documents exchanges annually</w:t>
            </w:r>
          </w:p>
        </w:tc>
        <w:tc>
          <w:tcPr>
            <w:tcW w:w="0" w:type="auto"/>
          </w:tcPr>
          <w:p w:rsidR="00771FC7" w:rsidRPr="00C70F2A" w:rsidRDefault="00771FC7" w:rsidP="00B05013">
            <w:pPr>
              <w:spacing w:before="120" w:after="120"/>
              <w:contextualSpacing w:val="0"/>
              <w:rPr>
                <w:sz w:val="20"/>
                <w:lang w:val="en-GB"/>
              </w:rPr>
            </w:pPr>
            <w:r>
              <w:rPr>
                <w:sz w:val="20"/>
                <w:lang w:val="en-GB"/>
              </w:rPr>
              <w:t>10,000 by Authority/year (1 million for Business Registers)</w:t>
            </w:r>
          </w:p>
        </w:tc>
      </w:tr>
    </w:tbl>
    <w:p w:rsidR="00771FC7" w:rsidRPr="00C70F2A" w:rsidRDefault="00771FC7" w:rsidP="00771FC7">
      <w:pPr>
        <w:spacing w:after="0"/>
        <w:jc w:val="left"/>
        <w:rPr>
          <w:rFonts w:ascii="Verdana" w:hAnsi="Verdana"/>
          <w:b/>
          <w:sz w:val="22"/>
          <w:lang w:val="en-GB"/>
        </w:rPr>
      </w:pPr>
      <w:r w:rsidRPr="00C70F2A">
        <w:rPr>
          <w:lang w:val="en-GB"/>
        </w:rPr>
        <w:br w:type="page"/>
      </w:r>
    </w:p>
    <w:p w:rsidR="00771FC7" w:rsidRDefault="00771FC7" w:rsidP="00771FC7">
      <w:pPr>
        <w:pStyle w:val="Ttulo1"/>
        <w:numPr>
          <w:ilvl w:val="0"/>
          <w:numId w:val="0"/>
        </w:numPr>
      </w:pPr>
      <w:bookmarkStart w:id="5" w:name="_Toc378110538"/>
      <w:bookmarkStart w:id="6" w:name="_Toc378542097"/>
      <w:r w:rsidRPr="00C70F2A">
        <w:lastRenderedPageBreak/>
        <w:t>References</w:t>
      </w:r>
      <w:bookmarkEnd w:id="5"/>
      <w:bookmarkEnd w:id="6"/>
    </w:p>
    <w:p w:rsidR="00771FC7" w:rsidRDefault="00771FC7" w:rsidP="00771FC7">
      <w:pPr>
        <w:pStyle w:val="Body"/>
      </w:pPr>
    </w:p>
    <w:p w:rsidR="00771FC7" w:rsidRDefault="00771FC7" w:rsidP="00771FC7">
      <w:pPr>
        <w:pStyle w:val="Bibliografa"/>
        <w:rPr>
          <w:noProof/>
          <w:lang w:val="es-ES_tradnl"/>
        </w:rPr>
      </w:pPr>
      <w:r>
        <w:fldChar w:fldCharType="begin"/>
      </w:r>
      <w:r>
        <w:rPr>
          <w:lang w:val="es-ES_tradnl"/>
        </w:rPr>
        <w:instrText xml:space="preserve"> BIBLIOGRAPHY  \l 1034 </w:instrText>
      </w:r>
      <w:r>
        <w:fldChar w:fldCharType="separate"/>
      </w:r>
      <w:r>
        <w:rPr>
          <w:noProof/>
          <w:lang w:val="es-ES_tradnl"/>
        </w:rPr>
        <w:t xml:space="preserve">CEBS. (7 de June de 2005). </w:t>
      </w:r>
      <w:r>
        <w:rPr>
          <w:i/>
          <w:iCs/>
          <w:noProof/>
          <w:lang w:val="es-ES_tradnl"/>
        </w:rPr>
        <w:t>European banking supervisors support the adoption of digital reporting</w:t>
      </w:r>
      <w:r>
        <w:rPr>
          <w:noProof/>
          <w:lang w:val="es-ES_tradnl"/>
        </w:rPr>
        <w:t>. Recuperado el 30 de January de 2014, de http://www.eba.europa.eu/-/european-banking-supervisors-support-the-adoption-of-digital-reporting</w:t>
      </w:r>
    </w:p>
    <w:p w:rsidR="00771FC7" w:rsidRDefault="00771FC7" w:rsidP="00771FC7">
      <w:pPr>
        <w:pStyle w:val="Bibliografa"/>
        <w:rPr>
          <w:noProof/>
          <w:lang w:val="es-ES_tradnl"/>
        </w:rPr>
      </w:pPr>
      <w:r>
        <w:rPr>
          <w:noProof/>
          <w:lang w:val="es-ES_tradnl"/>
        </w:rPr>
        <w:t xml:space="preserve">CEN/WS XBRL. (2013). </w:t>
      </w:r>
      <w:r>
        <w:rPr>
          <w:i/>
          <w:iCs/>
          <w:noProof/>
          <w:lang w:val="es-ES_tradnl"/>
        </w:rPr>
        <w:t>Improving transparency in financial and business reporting - Harmonisation topics - Part 1: European data point methodology for supervisory report.</w:t>
      </w:r>
      <w:r>
        <w:rPr>
          <w:noProof/>
          <w:lang w:val="es-ES_tradnl"/>
        </w:rPr>
        <w:t xml:space="preserve"> </w:t>
      </w:r>
    </w:p>
    <w:p w:rsidR="00771FC7" w:rsidRDefault="00771FC7" w:rsidP="00771FC7">
      <w:pPr>
        <w:pStyle w:val="Bibliografa"/>
        <w:rPr>
          <w:noProof/>
          <w:lang w:val="es-ES_tradnl"/>
        </w:rPr>
      </w:pPr>
      <w:r>
        <w:rPr>
          <w:noProof/>
          <w:lang w:val="es-ES_tradnl"/>
        </w:rPr>
        <w:t xml:space="preserve">COREP. (13 de January de 2006). </w:t>
      </w:r>
      <w:r>
        <w:rPr>
          <w:i/>
          <w:iCs/>
          <w:noProof/>
          <w:lang w:val="es-ES_tradnl"/>
        </w:rPr>
        <w:t>Guidelines on a common reporting framework (COREP)</w:t>
      </w:r>
      <w:r>
        <w:rPr>
          <w:noProof/>
          <w:lang w:val="es-ES_tradnl"/>
        </w:rPr>
        <w:t>. Recuperado el 30 de January de 2014, de http://www.eba.europa.eu/-/guidelines-on-common-reporting-200-1</w:t>
      </w:r>
    </w:p>
    <w:p w:rsidR="00771FC7" w:rsidRDefault="00771FC7" w:rsidP="00771FC7">
      <w:pPr>
        <w:pStyle w:val="Bibliografa"/>
        <w:rPr>
          <w:noProof/>
          <w:lang w:val="es-ES_tradnl"/>
        </w:rPr>
      </w:pPr>
      <w:r>
        <w:rPr>
          <w:noProof/>
          <w:lang w:val="es-ES_tradnl"/>
        </w:rPr>
        <w:t xml:space="preserve">EBA. (2013). </w:t>
      </w:r>
      <w:r>
        <w:rPr>
          <w:i/>
          <w:iCs/>
          <w:noProof/>
          <w:lang w:val="es-ES_tradnl"/>
        </w:rPr>
        <w:t>COREP/FINREP XBRL Taxonomy v2.0.0.</w:t>
      </w:r>
      <w:r>
        <w:rPr>
          <w:noProof/>
          <w:lang w:val="es-ES_tradnl"/>
        </w:rPr>
        <w:t xml:space="preserve"> EBA.</w:t>
      </w:r>
    </w:p>
    <w:p w:rsidR="00771FC7" w:rsidRDefault="00771FC7" w:rsidP="00771FC7">
      <w:pPr>
        <w:pStyle w:val="Bibliografa"/>
        <w:rPr>
          <w:noProof/>
          <w:lang w:val="es-ES_tradnl"/>
        </w:rPr>
      </w:pPr>
      <w:r>
        <w:rPr>
          <w:noProof/>
          <w:lang w:val="es-ES_tradnl"/>
        </w:rPr>
        <w:t xml:space="preserve">EBA. (2013). </w:t>
      </w:r>
      <w:r>
        <w:rPr>
          <w:i/>
          <w:iCs/>
          <w:noProof/>
          <w:lang w:val="es-ES_tradnl"/>
        </w:rPr>
        <w:t xml:space="preserve">Implementing Technical Standard on Supervisory Reporting (COREP, COREP Large Exposures and FINREP) </w:t>
      </w:r>
      <w:r>
        <w:rPr>
          <w:noProof/>
          <w:lang w:val="es-ES_tradnl"/>
        </w:rPr>
        <w:t>. Recuperado el 27 de January de 2014, de European Banking Authority: http://www.eba.europa.eu/regulation-and-policy/supervisory-reporting/implementing-technical-standard-on-supervisory-reporting-corep-corep-large-exposures-and-finrep-</w:t>
      </w:r>
    </w:p>
    <w:p w:rsidR="00771FC7" w:rsidRDefault="00771FC7" w:rsidP="00771FC7">
      <w:pPr>
        <w:pStyle w:val="Bibliografa"/>
        <w:rPr>
          <w:noProof/>
          <w:lang w:val="es-ES_tradnl"/>
        </w:rPr>
      </w:pPr>
      <w:r>
        <w:rPr>
          <w:noProof/>
          <w:lang w:val="es-ES_tradnl"/>
        </w:rPr>
        <w:t xml:space="preserve">EIOPA. (January de 2014). </w:t>
      </w:r>
      <w:r>
        <w:rPr>
          <w:i/>
          <w:iCs/>
          <w:noProof/>
          <w:lang w:val="es-ES_tradnl"/>
        </w:rPr>
        <w:t>Data modelling and XBRL taxonomy design</w:t>
      </w:r>
      <w:r>
        <w:rPr>
          <w:noProof/>
          <w:lang w:val="es-ES_tradnl"/>
        </w:rPr>
        <w:t>. Recuperado el 30 de January de 2014, de EIOPA: https://eiopa.europa.eu/publications/eu-wide-reporting-formats/index.html</w:t>
      </w:r>
    </w:p>
    <w:p w:rsidR="00771FC7" w:rsidRDefault="00771FC7" w:rsidP="00771FC7">
      <w:pPr>
        <w:pStyle w:val="Bibliografa"/>
        <w:rPr>
          <w:noProof/>
          <w:lang w:val="es-ES_tradnl"/>
        </w:rPr>
      </w:pPr>
      <w:r>
        <w:rPr>
          <w:noProof/>
          <w:lang w:val="es-ES_tradnl"/>
        </w:rPr>
        <w:t xml:space="preserve">EIOPA. (2013). </w:t>
      </w:r>
      <w:r>
        <w:rPr>
          <w:i/>
          <w:iCs/>
          <w:noProof/>
          <w:lang w:val="es-ES_tradnl"/>
        </w:rPr>
        <w:t>Solvency II</w:t>
      </w:r>
      <w:r>
        <w:rPr>
          <w:noProof/>
          <w:lang w:val="es-ES_tradnl"/>
        </w:rPr>
        <w:t>. Recuperado el 29 de January de 2014, de EIOPA: https://eiopa.europa.eu/en/fixed-width/activities/insurance/solvency-ii/index.html</w:t>
      </w:r>
    </w:p>
    <w:p w:rsidR="00771FC7" w:rsidRDefault="00771FC7" w:rsidP="00771FC7">
      <w:pPr>
        <w:pStyle w:val="Bibliografa"/>
        <w:rPr>
          <w:noProof/>
          <w:lang w:val="es-ES_tradnl"/>
        </w:rPr>
      </w:pPr>
      <w:r>
        <w:rPr>
          <w:noProof/>
          <w:lang w:val="es-ES_tradnl"/>
        </w:rPr>
        <w:t xml:space="preserve">Eurofiling Initiative. (2010). </w:t>
      </w:r>
      <w:r>
        <w:rPr>
          <w:i/>
          <w:iCs/>
          <w:noProof/>
          <w:lang w:val="es-ES_tradnl"/>
        </w:rPr>
        <w:t>COREP Taxonomy Documentation</w:t>
      </w:r>
      <w:r>
        <w:rPr>
          <w:noProof/>
          <w:lang w:val="es-ES_tradnl"/>
        </w:rPr>
        <w:t>. Recuperado el 27 de January de 2014, de Eurofiling Initiative: http://www.eurofiling.info/corepTaxonomy/corep_taxonomy_documentation.shtml</w:t>
      </w:r>
    </w:p>
    <w:p w:rsidR="00771FC7" w:rsidRDefault="00771FC7" w:rsidP="00771FC7">
      <w:pPr>
        <w:pStyle w:val="Bibliografa"/>
        <w:rPr>
          <w:noProof/>
          <w:lang w:val="es-ES_tradnl"/>
        </w:rPr>
      </w:pPr>
      <w:r>
        <w:rPr>
          <w:noProof/>
          <w:lang w:val="es-ES_tradnl"/>
        </w:rPr>
        <w:t xml:space="preserve">Eurofiling Initiative. (2009). </w:t>
      </w:r>
      <w:r>
        <w:rPr>
          <w:i/>
          <w:iCs/>
          <w:noProof/>
          <w:lang w:val="es-ES_tradnl"/>
        </w:rPr>
        <w:t>FINREP Taxonomy Documentation</w:t>
      </w:r>
      <w:r>
        <w:rPr>
          <w:noProof/>
          <w:lang w:val="es-ES_tradnl"/>
        </w:rPr>
        <w:t>. Recuperado el 27 de January de 2014, de Eurofiling Initiative: http://www.eurofiling.info/finrepTaxonomy/finrep_taxonomy_documentation.shtml</w:t>
      </w:r>
    </w:p>
    <w:p w:rsidR="00771FC7" w:rsidRDefault="00771FC7" w:rsidP="00771FC7">
      <w:pPr>
        <w:pStyle w:val="Bibliografa"/>
        <w:rPr>
          <w:noProof/>
          <w:lang w:val="es-ES_tradnl"/>
        </w:rPr>
      </w:pPr>
      <w:r>
        <w:rPr>
          <w:noProof/>
          <w:lang w:val="es-ES_tradnl"/>
        </w:rPr>
        <w:t xml:space="preserve">Eurofiling Initiative. (2011). </w:t>
      </w:r>
      <w:r>
        <w:rPr>
          <w:i/>
          <w:iCs/>
          <w:noProof/>
          <w:lang w:val="es-ES_tradnl"/>
        </w:rPr>
        <w:t>Legal Notice</w:t>
      </w:r>
      <w:r>
        <w:rPr>
          <w:noProof/>
          <w:lang w:val="es-ES_tradnl"/>
        </w:rPr>
        <w:t>. Recuperado el 27 de January de 2014, de Eurofiling Initiative: http://www.eurofiling.info/legal.shtml</w:t>
      </w:r>
    </w:p>
    <w:p w:rsidR="00771FC7" w:rsidRDefault="00771FC7" w:rsidP="00771FC7">
      <w:pPr>
        <w:pStyle w:val="Bibliografa"/>
        <w:rPr>
          <w:noProof/>
          <w:lang w:val="es-ES_tradnl"/>
        </w:rPr>
      </w:pPr>
      <w:r>
        <w:rPr>
          <w:i/>
          <w:iCs/>
          <w:noProof/>
          <w:lang w:val="es-ES_tradnl"/>
        </w:rPr>
        <w:t>Eurofiling Minutes</w:t>
      </w:r>
      <w:r>
        <w:rPr>
          <w:noProof/>
          <w:lang w:val="es-ES_tradnl"/>
        </w:rPr>
        <w:t>. (23 de January de 2014). Recuperado el 30 de January de 2014</w:t>
      </w:r>
    </w:p>
    <w:p w:rsidR="00771FC7" w:rsidRDefault="00771FC7" w:rsidP="00771FC7">
      <w:pPr>
        <w:pStyle w:val="Bibliografa"/>
        <w:rPr>
          <w:noProof/>
          <w:lang w:val="es-ES_tradnl"/>
        </w:rPr>
      </w:pPr>
      <w:r>
        <w:rPr>
          <w:i/>
          <w:iCs/>
          <w:noProof/>
          <w:lang w:val="es-ES_tradnl"/>
        </w:rPr>
        <w:t>Eurofiling, about us</w:t>
      </w:r>
      <w:r>
        <w:rPr>
          <w:noProof/>
          <w:lang w:val="es-ES_tradnl"/>
        </w:rPr>
        <w:t>. (s.f.). Recuperado el 30 de January de 2014, de http://www.eurofiling.info/about_us/about_us.shtml</w:t>
      </w:r>
    </w:p>
    <w:p w:rsidR="00771FC7" w:rsidRDefault="00771FC7" w:rsidP="00771FC7">
      <w:pPr>
        <w:pStyle w:val="Bibliografa"/>
        <w:rPr>
          <w:noProof/>
          <w:lang w:val="es-ES_tradnl"/>
        </w:rPr>
      </w:pPr>
      <w:r>
        <w:rPr>
          <w:noProof/>
          <w:lang w:val="es-ES_tradnl"/>
        </w:rPr>
        <w:t xml:space="preserve">FINREP. (16 de December de 2005). </w:t>
      </w:r>
      <w:r>
        <w:rPr>
          <w:i/>
          <w:iCs/>
          <w:noProof/>
          <w:lang w:val="es-ES_tradnl"/>
        </w:rPr>
        <w:t>Guidelines establishing a standardised financial reporting framework (FINREP)</w:t>
      </w:r>
      <w:r>
        <w:rPr>
          <w:noProof/>
          <w:lang w:val="es-ES_tradnl"/>
        </w:rPr>
        <w:t xml:space="preserve">. Recuperado el 30 de January de 2014, de CEBS: </w:t>
      </w:r>
      <w:r>
        <w:rPr>
          <w:noProof/>
          <w:lang w:val="es-ES_tradnl"/>
        </w:rPr>
        <w:lastRenderedPageBreak/>
        <w:t>http://www.eba.europa.eu/-/cebs-harmonises-reporting-framework-for-european-financial-groups</w:t>
      </w:r>
    </w:p>
    <w:p w:rsidR="00771FC7" w:rsidRDefault="00771FC7" w:rsidP="00771FC7">
      <w:pPr>
        <w:pStyle w:val="Bibliografa"/>
        <w:rPr>
          <w:noProof/>
          <w:lang w:val="es-ES_tradnl"/>
        </w:rPr>
      </w:pPr>
      <w:r>
        <w:rPr>
          <w:noProof/>
          <w:lang w:val="es-ES_tradnl"/>
        </w:rPr>
        <w:t xml:space="preserve">Jones, O. (10 de December de 2013). </w:t>
      </w:r>
      <w:r>
        <w:rPr>
          <w:i/>
          <w:iCs/>
          <w:noProof/>
          <w:lang w:val="es-ES_tradnl"/>
        </w:rPr>
        <w:t>EBA Taxonomy and DPM Architect</w:t>
      </w:r>
      <w:r>
        <w:rPr>
          <w:noProof/>
          <w:lang w:val="es-ES_tradnl"/>
        </w:rPr>
        <w:t>. Recuperado el 30 de January de 2014, de http://www.eurofiling.info/201312/presentations/20131210TaxonomyOwenJones.pptx</w:t>
      </w:r>
    </w:p>
    <w:p w:rsidR="00771FC7" w:rsidRDefault="00771FC7" w:rsidP="00771FC7">
      <w:pPr>
        <w:pStyle w:val="Bibliografa"/>
        <w:rPr>
          <w:noProof/>
          <w:lang w:val="es-ES_tradnl"/>
        </w:rPr>
      </w:pPr>
      <w:r>
        <w:rPr>
          <w:i/>
          <w:iCs/>
          <w:noProof/>
          <w:lang w:val="es-ES_tradnl"/>
        </w:rPr>
        <w:t>WikiXBRL</w:t>
      </w:r>
      <w:r>
        <w:rPr>
          <w:noProof/>
          <w:lang w:val="es-ES_tradnl"/>
        </w:rPr>
        <w:t>. (s.f.). Recuperado el 30 de January de 2014, de http://wikixbrl.info/index.php?title=XBRL_Industry_Solutions</w:t>
      </w:r>
    </w:p>
    <w:p w:rsidR="00771FC7" w:rsidRDefault="00771FC7" w:rsidP="00771FC7">
      <w:pPr>
        <w:pStyle w:val="Bibliografa"/>
        <w:rPr>
          <w:noProof/>
          <w:lang w:val="es-ES_tradnl"/>
        </w:rPr>
      </w:pPr>
      <w:r>
        <w:rPr>
          <w:noProof/>
          <w:lang w:val="es-ES_tradnl"/>
        </w:rPr>
        <w:t xml:space="preserve">XBRL Europe. (2013). </w:t>
      </w:r>
      <w:r>
        <w:rPr>
          <w:i/>
          <w:iCs/>
          <w:noProof/>
          <w:lang w:val="es-ES_tradnl"/>
        </w:rPr>
        <w:t>xEBR Taxonomy</w:t>
      </w:r>
      <w:r>
        <w:rPr>
          <w:noProof/>
          <w:lang w:val="es-ES_tradnl"/>
        </w:rPr>
        <w:t>. Recuperado el 29 de January de 2014, de XBRL Europe: http://www.xbrleurope.org/working-groups/xebr-wg/xebr-taxonomy</w:t>
      </w:r>
    </w:p>
    <w:p w:rsidR="00771FC7" w:rsidRDefault="00771FC7" w:rsidP="00771FC7">
      <w:pPr>
        <w:pStyle w:val="Bibliografa"/>
        <w:rPr>
          <w:noProof/>
          <w:lang w:val="es-ES_tradnl"/>
        </w:rPr>
      </w:pPr>
      <w:r>
        <w:rPr>
          <w:i/>
          <w:iCs/>
          <w:noProof/>
          <w:lang w:val="es-ES_tradnl"/>
        </w:rPr>
        <w:t>XBRL Specification</w:t>
      </w:r>
      <w:r>
        <w:rPr>
          <w:noProof/>
          <w:lang w:val="es-ES_tradnl"/>
        </w:rPr>
        <w:t>. (s.f.). Recuperado el 30 de January de 2014, de http://xbrl.org/TheStandard</w:t>
      </w:r>
    </w:p>
    <w:p w:rsidR="007C1505" w:rsidRDefault="00771FC7" w:rsidP="00771FC7">
      <w:r>
        <w:fldChar w:fldCharType="end"/>
      </w:r>
    </w:p>
    <w:sectPr w:rsidR="007C1505" w:rsidSect="007438D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61" w:rsidRDefault="00F74361" w:rsidP="00771FC7">
      <w:pPr>
        <w:spacing w:after="0"/>
      </w:pPr>
      <w:r>
        <w:separator/>
      </w:r>
    </w:p>
  </w:endnote>
  <w:endnote w:type="continuationSeparator" w:id="0">
    <w:p w:rsidR="00F74361" w:rsidRDefault="00F74361" w:rsidP="00771F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61" w:rsidRDefault="00F74361" w:rsidP="00771FC7">
      <w:pPr>
        <w:spacing w:after="0"/>
      </w:pPr>
      <w:r>
        <w:separator/>
      </w:r>
    </w:p>
  </w:footnote>
  <w:footnote w:type="continuationSeparator" w:id="0">
    <w:p w:rsidR="00F74361" w:rsidRDefault="00F74361" w:rsidP="00771FC7">
      <w:pPr>
        <w:spacing w:after="0"/>
      </w:pPr>
      <w:r>
        <w:continuationSeparator/>
      </w:r>
    </w:p>
  </w:footnote>
  <w:footnote w:id="1">
    <w:p w:rsidR="00771FC7" w:rsidRPr="007808D2" w:rsidRDefault="00771FC7" w:rsidP="00771FC7">
      <w:pPr>
        <w:pStyle w:val="Textonotapie"/>
        <w:rPr>
          <w:lang w:val="es-ES_tradnl"/>
        </w:rPr>
      </w:pPr>
      <w:r>
        <w:rPr>
          <w:rStyle w:val="Refdenotaalpie"/>
        </w:rPr>
        <w:footnoteRef/>
      </w:r>
      <w:r>
        <w:t xml:space="preserve"> </w:t>
      </w:r>
      <w:hyperlink r:id="rId1" w:history="1">
        <w:r w:rsidRPr="00283881">
          <w:rPr>
            <w:rStyle w:val="Hipervnculo"/>
          </w:rPr>
          <w:t>http://wikixbrl.info/index.php?title=XBRL_Industry_Solutions</w:t>
        </w:r>
      </w:hyperlink>
      <w:r>
        <w:t xml:space="preserve"> </w:t>
      </w:r>
    </w:p>
  </w:footnote>
  <w:footnote w:id="2">
    <w:p w:rsidR="00771FC7" w:rsidRPr="007808D2" w:rsidRDefault="00771FC7" w:rsidP="00771FC7">
      <w:pPr>
        <w:pStyle w:val="Textonotapie"/>
        <w:rPr>
          <w:lang w:val="es-ES_tradnl"/>
        </w:rPr>
      </w:pPr>
      <w:r>
        <w:rPr>
          <w:rStyle w:val="Refdenotaalpie"/>
        </w:rPr>
        <w:footnoteRef/>
      </w:r>
      <w:r>
        <w:t xml:space="preserve"> </w:t>
      </w:r>
      <w:hyperlink r:id="rId2" w:history="1">
        <w:r w:rsidRPr="00283881">
          <w:rPr>
            <w:rStyle w:val="Hipervnculo"/>
          </w:rPr>
          <w:t>http://wikixbrl.info/index.php?title=Open_Source_and_XBRL</w:t>
        </w:r>
      </w:hyperlink>
      <w:r>
        <w:t xml:space="preserve"> </w:t>
      </w:r>
    </w:p>
  </w:footnote>
  <w:footnote w:id="3">
    <w:p w:rsidR="00771FC7" w:rsidRPr="004F0C9D" w:rsidRDefault="00771FC7" w:rsidP="00771FC7">
      <w:pPr>
        <w:pStyle w:val="Textonotapie"/>
        <w:jc w:val="left"/>
        <w:rPr>
          <w:lang w:val="en-GB"/>
        </w:rPr>
      </w:pPr>
      <w:r>
        <w:rPr>
          <w:rStyle w:val="Refdenotaalpie"/>
        </w:rPr>
        <w:footnoteRef/>
      </w:r>
      <w:r w:rsidRPr="004F0C9D">
        <w:rPr>
          <w:lang w:val="en-GB"/>
        </w:rPr>
        <w:t xml:space="preserve"> Improving transparency in financial an</w:t>
      </w:r>
      <w:r>
        <w:rPr>
          <w:lang w:val="en-GB"/>
        </w:rPr>
        <w:t xml:space="preserve">d business reporting — Metadata </w:t>
      </w:r>
      <w:r w:rsidRPr="004F0C9D">
        <w:rPr>
          <w:lang w:val="en-GB"/>
        </w:rPr>
        <w:t>container</w:t>
      </w:r>
      <w:r>
        <w:rPr>
          <w:lang w:val="en-GB"/>
        </w:rPr>
        <w:t xml:space="preserve">: </w:t>
      </w:r>
      <w:hyperlink r:id="rId3" w:history="1">
        <w:r w:rsidRPr="0041566F">
          <w:rPr>
            <w:rStyle w:val="Hipervnculo"/>
            <w:lang w:val="en-GB"/>
          </w:rPr>
          <w:t>http://cen.eurofiling.info/wp-content/upLoads/data/CWA_XBRL_WI002-E.pdf</w:t>
        </w:r>
      </w:hyperlink>
    </w:p>
  </w:footnote>
  <w:footnote w:id="4">
    <w:p w:rsidR="00771FC7" w:rsidRPr="00AF19F9" w:rsidRDefault="00771FC7" w:rsidP="00771FC7">
      <w:pPr>
        <w:pStyle w:val="Textonotapie"/>
        <w:rPr>
          <w:lang w:val="en-GB"/>
        </w:rPr>
      </w:pPr>
      <w:r>
        <w:rPr>
          <w:rStyle w:val="Refdenotaalpie"/>
        </w:rPr>
        <w:footnoteRef/>
      </w:r>
      <w:r w:rsidRPr="00AF19F9">
        <w:rPr>
          <w:lang w:val="en-GB"/>
        </w:rPr>
        <w:t xml:space="preserve"> </w:t>
      </w:r>
      <w:hyperlink r:id="rId4" w:history="1">
        <w:r w:rsidRPr="0042629B">
          <w:rPr>
            <w:rStyle w:val="Hipervnculo"/>
            <w:lang w:val="en-GB"/>
          </w:rPr>
          <w:t>http://www.openfiling.info/</w:t>
        </w:r>
      </w:hyperlink>
    </w:p>
  </w:footnote>
  <w:footnote w:id="5">
    <w:p w:rsidR="00771FC7" w:rsidRPr="004B6EDB" w:rsidRDefault="00771FC7" w:rsidP="00771FC7">
      <w:pPr>
        <w:pStyle w:val="Textonotapie"/>
        <w:rPr>
          <w:lang w:val="en-GB"/>
        </w:rPr>
      </w:pPr>
      <w:r>
        <w:rPr>
          <w:rStyle w:val="Refdenotaalpie"/>
        </w:rPr>
        <w:footnoteRef/>
      </w:r>
      <w:r w:rsidRPr="004B6EDB">
        <w:rPr>
          <w:lang w:val="en-GB"/>
        </w:rPr>
        <w:t xml:space="preserve"> </w:t>
      </w:r>
      <w:r>
        <w:rPr>
          <w:lang w:val="en-GB"/>
        </w:rPr>
        <w:t xml:space="preserve">European Union Public License: </w:t>
      </w:r>
      <w:hyperlink r:id="rId5" w:history="1">
        <w:r w:rsidRPr="004A73A0">
          <w:rPr>
            <w:rStyle w:val="Hipervnculo"/>
            <w:lang w:val="en-GB"/>
          </w:rPr>
          <w:t>http://joinup.ec.europa.eu/software/page/eupl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3B5"/>
    <w:multiLevelType w:val="hybridMultilevel"/>
    <w:tmpl w:val="7AAC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22604"/>
    <w:multiLevelType w:val="hybridMultilevel"/>
    <w:tmpl w:val="46F24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34306"/>
    <w:multiLevelType w:val="multilevel"/>
    <w:tmpl w:val="83026D66"/>
    <w:lvl w:ilvl="0">
      <w:start w:val="1"/>
      <w:numFmt w:val="decimal"/>
      <w:pStyle w:val="Ttulo1"/>
      <w:lvlText w:val="%1."/>
      <w:lvlJc w:val="left"/>
      <w:pPr>
        <w:tabs>
          <w:tab w:val="num" w:pos="480"/>
        </w:tabs>
        <w:ind w:left="480" w:hanging="480"/>
      </w:pPr>
    </w:lvl>
    <w:lvl w:ilvl="1">
      <w:start w:val="1"/>
      <w:numFmt w:val="decimal"/>
      <w:lvlText w:val="%1.%2."/>
      <w:lvlJc w:val="left"/>
      <w:pPr>
        <w:tabs>
          <w:tab w:val="num" w:pos="3556"/>
        </w:tabs>
        <w:ind w:left="3556" w:hanging="720"/>
      </w:pPr>
      <w:rPr>
        <w:b/>
      </w:rPr>
    </w:lvl>
    <w:lvl w:ilvl="2">
      <w:start w:val="1"/>
      <w:numFmt w:val="decimal"/>
      <w:pStyle w:val="Ttulo3"/>
      <w:lvlText w:val="%1.%2.%3."/>
      <w:lvlJc w:val="left"/>
      <w:pPr>
        <w:tabs>
          <w:tab w:val="num" w:pos="2138"/>
        </w:tabs>
        <w:ind w:left="2138"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1BC6E81"/>
    <w:multiLevelType w:val="hybridMultilevel"/>
    <w:tmpl w:val="19D66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9228B4"/>
    <w:multiLevelType w:val="hybridMultilevel"/>
    <w:tmpl w:val="8D78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BD7A63"/>
    <w:multiLevelType w:val="hybridMultilevel"/>
    <w:tmpl w:val="86803F0A"/>
    <w:lvl w:ilvl="0" w:tplc="08090001">
      <w:start w:val="1"/>
      <w:numFmt w:val="bullet"/>
      <w:lvlText w:val=""/>
      <w:lvlJc w:val="left"/>
      <w:pPr>
        <w:ind w:left="720" w:hanging="360"/>
      </w:pPr>
      <w:rPr>
        <w:rFonts w:ascii="Symbol" w:hAnsi="Symbol" w:hint="default"/>
      </w:rPr>
    </w:lvl>
    <w:lvl w:ilvl="1" w:tplc="1C5EB8B6">
      <w:start w:val="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42C3F"/>
    <w:multiLevelType w:val="multilevel"/>
    <w:tmpl w:val="5CE4ED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3511F"/>
    <w:multiLevelType w:val="hybridMultilevel"/>
    <w:tmpl w:val="61882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545215"/>
    <w:multiLevelType w:val="hybridMultilevel"/>
    <w:tmpl w:val="8020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5532EB"/>
    <w:multiLevelType w:val="hybridMultilevel"/>
    <w:tmpl w:val="FC887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BF37FE"/>
    <w:multiLevelType w:val="hybridMultilevel"/>
    <w:tmpl w:val="87B49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2F5F8D"/>
    <w:multiLevelType w:val="hybridMultilevel"/>
    <w:tmpl w:val="F10E2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7B0543"/>
    <w:multiLevelType w:val="hybridMultilevel"/>
    <w:tmpl w:val="3A38E838"/>
    <w:lvl w:ilvl="0" w:tplc="1C5EB8B6">
      <w:start w:val="10"/>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F83B9D"/>
    <w:multiLevelType w:val="hybridMultilevel"/>
    <w:tmpl w:val="2E40C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1"/>
  </w:num>
  <w:num w:numId="6">
    <w:abstractNumId w:val="5"/>
  </w:num>
  <w:num w:numId="7">
    <w:abstractNumId w:val="8"/>
  </w:num>
  <w:num w:numId="8">
    <w:abstractNumId w:val="4"/>
  </w:num>
  <w:num w:numId="9">
    <w:abstractNumId w:val="13"/>
  </w:num>
  <w:num w:numId="10">
    <w:abstractNumId w:val="6"/>
  </w:num>
  <w:num w:numId="11">
    <w:abstractNumId w:val="0"/>
  </w:num>
  <w:num w:numId="12">
    <w:abstractNumId w:val="9"/>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1FC7"/>
    <w:rsid w:val="001C2D53"/>
    <w:rsid w:val="007438D4"/>
    <w:rsid w:val="00771FC7"/>
    <w:rsid w:val="00CD3A83"/>
    <w:rsid w:val="00F7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1FC7"/>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Body"/>
    <w:link w:val="Ttulo1Car"/>
    <w:autoRedefine/>
    <w:qFormat/>
    <w:rsid w:val="00771FC7"/>
    <w:pPr>
      <w:keepNext/>
      <w:pageBreakBefore/>
      <w:numPr>
        <w:numId w:val="1"/>
      </w:numPr>
      <w:spacing w:before="240"/>
      <w:outlineLvl w:val="0"/>
    </w:pPr>
    <w:rPr>
      <w:rFonts w:ascii="Verdana" w:hAnsi="Verdana"/>
      <w:b/>
      <w:smallCaps/>
      <w:lang w:val="en-GB"/>
    </w:rPr>
  </w:style>
  <w:style w:type="paragraph" w:styleId="Ttulo2">
    <w:name w:val="heading 2"/>
    <w:basedOn w:val="Normal"/>
    <w:next w:val="Body"/>
    <w:link w:val="Ttulo2Car"/>
    <w:autoRedefine/>
    <w:qFormat/>
    <w:rsid w:val="00771FC7"/>
    <w:pPr>
      <w:keepNext/>
      <w:tabs>
        <w:tab w:val="left" w:pos="0"/>
      </w:tabs>
      <w:spacing w:before="240"/>
      <w:outlineLvl w:val="1"/>
    </w:pPr>
    <w:rPr>
      <w:rFonts w:ascii="Verdana" w:hAnsi="Verdana"/>
      <w:b/>
      <w:sz w:val="22"/>
      <w:lang w:val="en-GB"/>
    </w:rPr>
  </w:style>
  <w:style w:type="paragraph" w:styleId="Ttulo3">
    <w:name w:val="heading 3"/>
    <w:basedOn w:val="Normal"/>
    <w:next w:val="Body"/>
    <w:link w:val="Ttulo3Car"/>
    <w:qFormat/>
    <w:rsid w:val="00771FC7"/>
    <w:pPr>
      <w:keepNext/>
      <w:numPr>
        <w:ilvl w:val="2"/>
        <w:numId w:val="1"/>
      </w:numPr>
      <w:spacing w:before="240" w:after="120"/>
      <w:outlineLvl w:val="2"/>
    </w:pPr>
    <w:rPr>
      <w:rFonts w:ascii="Verdana" w:hAnsi="Verdana"/>
      <w:b/>
      <w:sz w:val="20"/>
      <w:lang w:val="en-GB"/>
    </w:rPr>
  </w:style>
  <w:style w:type="paragraph" w:styleId="Ttulo4">
    <w:name w:val="heading 4"/>
    <w:basedOn w:val="Normal"/>
    <w:next w:val="Body"/>
    <w:link w:val="Ttulo4Car"/>
    <w:qFormat/>
    <w:rsid w:val="00771FC7"/>
    <w:pPr>
      <w:keepNext/>
      <w:numPr>
        <w:ilvl w:val="3"/>
        <w:numId w:val="1"/>
      </w:numPr>
      <w:spacing w:before="120"/>
      <w:outlineLvl w:val="3"/>
    </w:pPr>
    <w:rPr>
      <w:rFonts w:ascii="Verdana" w:hAnsi="Verdana"/>
      <w:i/>
      <w:sz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1FC7"/>
    <w:rPr>
      <w:rFonts w:ascii="Verdana" w:eastAsia="Times New Roman" w:hAnsi="Verdana" w:cs="Times New Roman"/>
      <w:b/>
      <w:smallCaps/>
      <w:sz w:val="24"/>
      <w:szCs w:val="20"/>
      <w:lang w:val="en-GB"/>
    </w:rPr>
  </w:style>
  <w:style w:type="character" w:customStyle="1" w:styleId="Ttulo2Car">
    <w:name w:val="Título 2 Car"/>
    <w:basedOn w:val="Fuentedeprrafopredeter"/>
    <w:link w:val="Ttulo2"/>
    <w:rsid w:val="00771FC7"/>
    <w:rPr>
      <w:rFonts w:ascii="Verdana" w:eastAsia="Times New Roman" w:hAnsi="Verdana" w:cs="Times New Roman"/>
      <w:b/>
      <w:szCs w:val="20"/>
      <w:lang w:val="en-GB"/>
    </w:rPr>
  </w:style>
  <w:style w:type="character" w:customStyle="1" w:styleId="Ttulo3Car">
    <w:name w:val="Título 3 Car"/>
    <w:basedOn w:val="Fuentedeprrafopredeter"/>
    <w:link w:val="Ttulo3"/>
    <w:rsid w:val="00771FC7"/>
    <w:rPr>
      <w:rFonts w:ascii="Verdana" w:eastAsia="Times New Roman" w:hAnsi="Verdana" w:cs="Times New Roman"/>
      <w:b/>
      <w:sz w:val="20"/>
      <w:szCs w:val="20"/>
      <w:lang w:val="en-GB"/>
    </w:rPr>
  </w:style>
  <w:style w:type="character" w:customStyle="1" w:styleId="Ttulo4Car">
    <w:name w:val="Título 4 Car"/>
    <w:basedOn w:val="Fuentedeprrafopredeter"/>
    <w:link w:val="Ttulo4"/>
    <w:rsid w:val="00771FC7"/>
    <w:rPr>
      <w:rFonts w:ascii="Verdana" w:eastAsia="Times New Roman" w:hAnsi="Verdana" w:cs="Times New Roman"/>
      <w:i/>
      <w:sz w:val="20"/>
      <w:szCs w:val="20"/>
      <w:lang w:val="en-GB"/>
    </w:rPr>
  </w:style>
  <w:style w:type="paragraph" w:styleId="Epgrafe">
    <w:name w:val="caption"/>
    <w:basedOn w:val="Normal"/>
    <w:next w:val="Normal"/>
    <w:uiPriority w:val="35"/>
    <w:qFormat/>
    <w:rsid w:val="00771FC7"/>
    <w:pPr>
      <w:keepNext/>
      <w:spacing w:before="120" w:after="120" w:line="276" w:lineRule="auto"/>
    </w:pPr>
    <w:rPr>
      <w:rFonts w:ascii="Verdana" w:hAnsi="Verdana"/>
      <w:b/>
      <w:sz w:val="16"/>
      <w:lang w:val="en-GB"/>
    </w:rPr>
  </w:style>
  <w:style w:type="paragraph" w:styleId="Textonotapie">
    <w:name w:val="footnote text"/>
    <w:aliases w:val="Footnote,Schriftart: 9 pt,Schriftart: 10 pt,Schriftart: 8 pt,Podrozdział,o,footnote text,Footnote Text Char Char,Fußnote,single space,FOOTNOTES,fn,Char Char Char,Note de bas de page2,Footnotes Char,footnote text Char,Char Cha,f"/>
    <w:basedOn w:val="Normal"/>
    <w:link w:val="TextonotapieCar"/>
    <w:qFormat/>
    <w:rsid w:val="00771FC7"/>
    <w:pPr>
      <w:ind w:left="357" w:hanging="357"/>
    </w:pPr>
    <w:rPr>
      <w:rFonts w:ascii="Verdana" w:hAnsi="Verdana"/>
      <w:sz w:val="16"/>
    </w:rPr>
  </w:style>
  <w:style w:type="character" w:customStyle="1" w:styleId="TextonotapieCar">
    <w:name w:val="Texto nota pie Car"/>
    <w:aliases w:val="Footnote Car,Schriftart: 9 pt Car,Schriftart: 10 pt Car,Schriftart: 8 pt Car,Podrozdział Car,o Car,footnote text Car,Footnote Text Char Char Car,Fußnote Car,single space Car,FOOTNOTES Car,fn Car,Char Char Char Car,Footnotes Char Car"/>
    <w:basedOn w:val="Fuentedeprrafopredeter"/>
    <w:link w:val="Textonotapie"/>
    <w:rsid w:val="00771FC7"/>
    <w:rPr>
      <w:rFonts w:ascii="Verdana" w:eastAsia="Times New Roman" w:hAnsi="Verdana" w:cs="Times New Roman"/>
      <w:sz w:val="16"/>
      <w:szCs w:val="20"/>
      <w:lang w:val="fr-FR"/>
    </w:rPr>
  </w:style>
  <w:style w:type="paragraph" w:styleId="Encabezado">
    <w:name w:val="header"/>
    <w:basedOn w:val="Normal"/>
    <w:link w:val="EncabezadoCar"/>
    <w:uiPriority w:val="99"/>
    <w:rsid w:val="00771FC7"/>
    <w:pPr>
      <w:tabs>
        <w:tab w:val="center" w:pos="4153"/>
        <w:tab w:val="right" w:pos="8306"/>
      </w:tabs>
    </w:pPr>
  </w:style>
  <w:style w:type="character" w:customStyle="1" w:styleId="EncabezadoCar">
    <w:name w:val="Encabezado Car"/>
    <w:basedOn w:val="Fuentedeprrafopredeter"/>
    <w:link w:val="Encabezado"/>
    <w:uiPriority w:val="99"/>
    <w:rsid w:val="00771FC7"/>
    <w:rPr>
      <w:rFonts w:ascii="Times New Roman" w:eastAsia="Times New Roman" w:hAnsi="Times New Roman" w:cs="Times New Roman"/>
      <w:sz w:val="24"/>
      <w:szCs w:val="20"/>
      <w:lang w:val="fr-FR"/>
    </w:rPr>
  </w:style>
  <w:style w:type="character" w:styleId="Hipervnculo">
    <w:name w:val="Hyperlink"/>
    <w:uiPriority w:val="99"/>
    <w:rsid w:val="00771FC7"/>
    <w:rPr>
      <w:color w:val="0000FF"/>
      <w:u w:val="single"/>
    </w:rPr>
  </w:style>
  <w:style w:type="character" w:styleId="Refdenotaalpie">
    <w:name w:val="footnote reference"/>
    <w:aliases w:val="Footnote Refernece,BVI fnr,Fußnotenzeichen_Raxen,callout,Footnote Reference Number,SUPERS,Footnote symbol,Footnote reference number,Times 10 Point,Exposant 3 Point,EN Footnote Reference,note TESI,-E Fußnotenzeichen,Ref,E,S, BVI fnr"/>
    <w:qFormat/>
    <w:rsid w:val="00771FC7"/>
    <w:rPr>
      <w:rFonts w:ascii="Verdana" w:hAnsi="Verdana"/>
      <w:vertAlign w:val="superscript"/>
    </w:rPr>
  </w:style>
  <w:style w:type="paragraph" w:customStyle="1" w:styleId="DocumentTitle">
    <w:name w:val="Document Title"/>
    <w:basedOn w:val="Normal"/>
    <w:link w:val="DocumentTitleChar"/>
    <w:qFormat/>
    <w:rsid w:val="00771FC7"/>
    <w:pPr>
      <w:jc w:val="center"/>
    </w:pPr>
    <w:rPr>
      <w:rFonts w:ascii="Verdana" w:hAnsi="Verdana"/>
      <w:b/>
      <w:sz w:val="28"/>
    </w:rPr>
  </w:style>
  <w:style w:type="character" w:customStyle="1" w:styleId="DocumentTitleChar">
    <w:name w:val="Document Title Char"/>
    <w:link w:val="DocumentTitle"/>
    <w:rsid w:val="00771FC7"/>
    <w:rPr>
      <w:rFonts w:ascii="Verdana" w:eastAsia="Times New Roman" w:hAnsi="Verdana" w:cs="Times New Roman"/>
      <w:b/>
      <w:sz w:val="28"/>
      <w:szCs w:val="20"/>
      <w:lang w:val="fr-FR"/>
    </w:rPr>
  </w:style>
  <w:style w:type="paragraph" w:customStyle="1" w:styleId="DocumentSubtitle">
    <w:name w:val="Document Subtitle"/>
    <w:basedOn w:val="DocumentTitle"/>
    <w:link w:val="DocumentSubtitleChar"/>
    <w:qFormat/>
    <w:rsid w:val="00771FC7"/>
    <w:rPr>
      <w:b w:val="0"/>
      <w:i/>
      <w:sz w:val="24"/>
      <w:szCs w:val="24"/>
      <w:lang w:val="en-GB"/>
    </w:rPr>
  </w:style>
  <w:style w:type="character" w:customStyle="1" w:styleId="DocumentSubtitleChar">
    <w:name w:val="Document Subtitle Char"/>
    <w:link w:val="DocumentSubtitle"/>
    <w:rsid w:val="00771FC7"/>
    <w:rPr>
      <w:rFonts w:ascii="Verdana" w:eastAsia="Times New Roman" w:hAnsi="Verdana" w:cs="Times New Roman"/>
      <w:i/>
      <w:sz w:val="24"/>
      <w:szCs w:val="24"/>
      <w:lang w:val="en-GB"/>
    </w:rPr>
  </w:style>
  <w:style w:type="paragraph" w:customStyle="1" w:styleId="Body">
    <w:name w:val="Body"/>
    <w:basedOn w:val="Normal"/>
    <w:link w:val="BodyChar"/>
    <w:uiPriority w:val="99"/>
    <w:qFormat/>
    <w:rsid w:val="00771FC7"/>
    <w:pPr>
      <w:spacing w:after="120" w:line="276" w:lineRule="auto"/>
    </w:pPr>
    <w:rPr>
      <w:rFonts w:ascii="Verdana" w:hAnsi="Verdana"/>
      <w:sz w:val="20"/>
      <w:lang w:val="en-GB"/>
    </w:rPr>
  </w:style>
  <w:style w:type="character" w:customStyle="1" w:styleId="BodyChar">
    <w:name w:val="Body Char"/>
    <w:link w:val="Body"/>
    <w:uiPriority w:val="99"/>
    <w:rsid w:val="00771FC7"/>
    <w:rPr>
      <w:rFonts w:ascii="Verdana" w:eastAsia="Times New Roman" w:hAnsi="Verdana" w:cs="Times New Roman"/>
      <w:sz w:val="20"/>
      <w:szCs w:val="20"/>
      <w:lang w:val="en-GB"/>
    </w:rPr>
  </w:style>
  <w:style w:type="table" w:styleId="Tablaconcuadrcula">
    <w:name w:val="Table Grid"/>
    <w:basedOn w:val="Tablanormal"/>
    <w:rsid w:val="00771FC7"/>
    <w:pPr>
      <w:spacing w:after="0" w:line="240" w:lineRule="auto"/>
      <w:contextualSpacing/>
    </w:pPr>
    <w:rPr>
      <w:rFonts w:ascii="Verdana" w:eastAsia="Times New Roman" w:hAnsi="Verdana" w:cs="Times New Roman"/>
      <w:sz w:val="18"/>
      <w:szCs w:val="20"/>
      <w:lang w:val="en-GB" w:eastAsia="en-GB"/>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vAlign w:val="center"/>
    </w:tcPr>
    <w:tblStylePr w:type="firstRow">
      <w:rPr>
        <w:b/>
      </w:rPr>
      <w:tblPr/>
      <w:tcPr>
        <w:shd w:val="clear" w:color="auto" w:fill="002395"/>
      </w:tcPr>
    </w:tblStylePr>
  </w:style>
  <w:style w:type="paragraph" w:styleId="Prrafodelista">
    <w:name w:val="List Paragraph"/>
    <w:basedOn w:val="Normal"/>
    <w:link w:val="PrrafodelistaCar"/>
    <w:uiPriority w:val="34"/>
    <w:qFormat/>
    <w:rsid w:val="00771FC7"/>
    <w:pPr>
      <w:widowControl w:val="0"/>
      <w:spacing w:line="312" w:lineRule="auto"/>
      <w:ind w:left="720"/>
      <w:contextualSpacing/>
    </w:pPr>
    <w:rPr>
      <w:rFonts w:ascii="Arial" w:hAnsi="Arial"/>
      <w:sz w:val="20"/>
      <w:szCs w:val="24"/>
      <w:lang w:val="en-GB" w:eastAsia="fr-FR"/>
    </w:rPr>
  </w:style>
  <w:style w:type="paragraph" w:customStyle="1" w:styleId="Default">
    <w:name w:val="Default"/>
    <w:rsid w:val="00771FC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rafodelistaCar">
    <w:name w:val="Párrafo de lista Car"/>
    <w:basedOn w:val="Fuentedeprrafopredeter"/>
    <w:link w:val="Prrafodelista"/>
    <w:uiPriority w:val="34"/>
    <w:rsid w:val="00771FC7"/>
    <w:rPr>
      <w:rFonts w:ascii="Arial" w:eastAsia="Times New Roman" w:hAnsi="Arial" w:cs="Times New Roman"/>
      <w:sz w:val="20"/>
      <w:szCs w:val="24"/>
      <w:lang w:val="en-GB" w:eastAsia="fr-FR"/>
    </w:rPr>
  </w:style>
  <w:style w:type="paragraph" w:styleId="Textodeglobo">
    <w:name w:val="Balloon Text"/>
    <w:basedOn w:val="Normal"/>
    <w:link w:val="TextodegloboCar"/>
    <w:uiPriority w:val="99"/>
    <w:semiHidden/>
    <w:unhideWhenUsed/>
    <w:rsid w:val="00771FC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FC7"/>
    <w:rPr>
      <w:rFonts w:ascii="Tahoma" w:eastAsia="Times New Roman" w:hAnsi="Tahoma" w:cs="Tahoma"/>
      <w:sz w:val="16"/>
      <w:szCs w:val="16"/>
      <w:lang w:val="fr-FR"/>
    </w:rPr>
  </w:style>
  <w:style w:type="paragraph" w:styleId="Bibliografa">
    <w:name w:val="Bibliography"/>
    <w:basedOn w:val="Normal"/>
    <w:next w:val="Normal"/>
    <w:uiPriority w:val="37"/>
    <w:unhideWhenUsed/>
    <w:rsid w:val="00771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filing.info/finrepTaxonomy/taxonomy2012.shtml" TargetMode="External"/><Relationship Id="rId13" Type="http://schemas.openxmlformats.org/officeDocument/2006/relationships/hyperlink" Target="http://eur-lex.europa.eu/LexUriServ/LexUriServ.do?uri=OJ:L:2006:177:0001:0001: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L0049:en:N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177:0001:01: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filing.info/solvencyII/index.shtml" TargetMode="External"/><Relationship Id="rId4" Type="http://schemas.openxmlformats.org/officeDocument/2006/relationships/settings" Target="settings.xml"/><Relationship Id="rId9" Type="http://schemas.openxmlformats.org/officeDocument/2006/relationships/hyperlink" Target="http://www.eurofiling.info/corepTaxonomy/taxonomy.shtml" TargetMode="External"/><Relationship Id="rId14" Type="http://schemas.openxmlformats.org/officeDocument/2006/relationships/hyperlink" Target="http://eur-lex.europa.eu/LexUriServ/LexUriServ.do?uri=CELEX:32013R0575: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en.eurofiling.info/wp-content/upLoads/data/CWA_XBRL_WI002-E.pdf" TargetMode="External"/><Relationship Id="rId2" Type="http://schemas.openxmlformats.org/officeDocument/2006/relationships/hyperlink" Target="http://wikixbrl.info/index.php?title=Open_Source_and_XBRL" TargetMode="External"/><Relationship Id="rId1" Type="http://schemas.openxmlformats.org/officeDocument/2006/relationships/hyperlink" Target="http://wikixbrl.info/index.php?title=XBRL_Industry_Solutions" TargetMode="External"/><Relationship Id="rId5" Type="http://schemas.openxmlformats.org/officeDocument/2006/relationships/hyperlink" Target="http://joinup.ec.europa.eu/software/page/eupl" TargetMode="External"/><Relationship Id="rId4" Type="http://schemas.openxmlformats.org/officeDocument/2006/relationships/hyperlink" Target="http://www.openfiling.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Eur101</b:Tag>
    <b:SourceType>InternetSite</b:SourceType>
    <b:Guid>{CDA7F3F8-7CE1-4B20-A769-67CD99E9E440}</b:Guid>
    <b:Title>COREP Taxonomy Documentation</b:Title>
    <b:Year>2010</b:Year>
    <b:Author>
      <b:Author>
        <b:Corporate>Eurofiling Initiative</b:Corporate>
      </b:Author>
    </b:Author>
    <b:InternetSiteTitle>Eurofiling Initiative</b:InternetSiteTitle>
    <b:YearAccessed>2014</b:YearAccessed>
    <b:MonthAccessed>January</b:MonthAccessed>
    <b:DayAccessed>27</b:DayAccessed>
    <b:URL>http://www.eurofiling.info/corepTaxonomy/corep_taxonomy_documentation.shtml</b:URL>
    <b:RefOrder>1</b:RefOrder>
  </b:Source>
  <b:Source>
    <b:Tag>COR05</b:Tag>
    <b:SourceType>InternetSite</b:SourceType>
    <b:Guid>{17CFD17D-9E7E-405E-87CC-F833C56C5D9D}</b:Guid>
    <b:Title>Guidelines on a common reporting framework (COREP)</b:Title>
    <b:Year>2006</b:Year>
    <b:Author>
      <b:Author>
        <b:Corporate>COREP</b:Corporate>
      </b:Author>
    </b:Author>
    <b:City>Tokyo</b:City>
    <b:LCID>0</b:LCID>
    <b:YearAccessed>2014</b:YearAccessed>
    <b:MonthAccessed>January</b:MonthAccessed>
    <b:DayAccessed>30</b:DayAccessed>
    <b:URL>http://www.eba.europa.eu/-/guidelines-on-common-reporting-200-1</b:URL>
    <b:Month>January</b:Month>
    <b:Day>13</b:Day>
    <b:RefOrder>2</b:RefOrder>
  </b:Source>
  <b:Source>
    <b:Tag>EBA131</b:Tag>
    <b:SourceType>InternetSite</b:SourceType>
    <b:Guid>{C70A5BE0-D278-400F-954A-57B9D1750E96}</b:Guid>
    <b:Title>Implementing Technical Standard on Supervisory Reporting (COREP, COREP Large Exposures and FINREP) </b:Title>
    <b:Year>2013</b:Year>
    <b:Author>
      <b:Author>
        <b:Corporate>EBA</b:Corporate>
      </b:Author>
    </b:Author>
    <b:InternetSiteTitle>European Banking Authority</b:InternetSiteTitle>
    <b:YearAccessed>2014</b:YearAccessed>
    <b:MonthAccessed>January</b:MonthAccessed>
    <b:DayAccessed>27</b:DayAccessed>
    <b:URL>http://www.eba.europa.eu/regulation-and-policy/supervisory-reporting/implementing-technical-standard-on-supervisory-reporting-corep-corep-large-exposures-and-finrep-</b:URL>
    <b:RefOrder>3</b:RefOrder>
  </b:Source>
  <b:Source>
    <b:Tag>Eur09</b:Tag>
    <b:SourceType>InternetSite</b:SourceType>
    <b:Guid>{02AC0B9F-362B-4A2E-98A3-B73F4774EC6F}</b:Guid>
    <b:Author>
      <b:Author>
        <b:Corporate>Eurofiling Initiative</b:Corporate>
      </b:Author>
    </b:Author>
    <b:Title>FINREP Taxonomy Documentation</b:Title>
    <b:InternetSiteTitle>Eurofiling Initiative</b:InternetSiteTitle>
    <b:Year>2009</b:Year>
    <b:YearAccessed>2014</b:YearAccessed>
    <b:MonthAccessed>January</b:MonthAccessed>
    <b:DayAccessed>27</b:DayAccessed>
    <b:URL>http://www.eurofiling.info/finrepTaxonomy/finrep_taxonomy_documentation.shtml</b:URL>
    <b:RefOrder>4</b:RefOrder>
  </b:Source>
  <b:Source>
    <b:Tag>FSM14</b:Tag>
    <b:SourceType>InternetSite</b:SourceType>
    <b:Guid>{04D9B78D-9C8C-4081-AE06-04B6BBA37E67}</b:Guid>
    <b:Author>
      <b:Author>
        <b:Corporate>FINREP</b:Corporate>
      </b:Author>
    </b:Author>
    <b:Title>Guidelines establishing a standardised financial reporting framework (FINREP)</b:Title>
    <b:InternetSiteTitle>CEBS</b:InternetSiteTitle>
    <b:YearAccessed>2014</b:YearAccessed>
    <b:MonthAccessed>January</b:MonthAccessed>
    <b:DayAccessed>30</b:DayAccessed>
    <b:URL>http://www.eba.europa.eu/-/cebs-harmonises-reporting-framework-for-european-financial-groups</b:URL>
    <b:LCID>0</b:LCID>
    <b:Year>2005</b:Year>
    <b:Month>December</b:Month>
    <b:Day>16</b:Day>
    <b:RefOrder>5</b:RefOrder>
  </b:Source>
  <b:Source>
    <b:Tag>EIO16</b:Tag>
    <b:SourceType>InternetSite</b:SourceType>
    <b:Guid>{9D02BBB6-C348-44D2-A5B3-E51BAAC3FF39}</b:Guid>
    <b:LCID>0</b:LCID>
    <b:Author>
      <b:Author>
        <b:NameList>
          <b:Person>
            <b:Last>EIOPA</b:Last>
          </b:Person>
        </b:NameList>
      </b:Author>
    </b:Author>
    <b:Title>Data modelling and XBRL taxonomy design</b:Title>
    <b:InternetSiteTitle>EIOPA</b:InternetSiteTitle>
    <b:Year>2014</b:Year>
    <b:Month>January</b:Month>
    <b:YearAccessed>2014</b:YearAccessed>
    <b:MonthAccessed>January</b:MonthAccessed>
    <b:DayAccessed>30</b:DayAccessed>
    <b:URL>https://eiopa.europa.eu/publications/eu-wide-reporting-formats/index.html</b:URL>
    <b:RefOrder>6</b:RefOrder>
  </b:Source>
  <b:Source>
    <b:Tag>EIO13</b:Tag>
    <b:SourceType>InternetSite</b:SourceType>
    <b:Guid>{FAC807CB-D3E4-4BCC-913A-F550515BF178}</b:Guid>
    <b:Title>Solvency II</b:Title>
    <b:Year>2013</b:Year>
    <b:InternetSiteTitle>EIOPA</b:InternetSiteTitle>
    <b:YearAccessed>2014</b:YearAccessed>
    <b:MonthAccessed>January</b:MonthAccessed>
    <b:DayAccessed>29</b:DayAccessed>
    <b:URL>https://eiopa.europa.eu/en/fixed-width/activities/insurance/solvency-ii/index.html</b:URL>
    <b:Author>
      <b:Author>
        <b:Corporate>EIOPA</b:Corporate>
      </b:Author>
    </b:Author>
    <b:RefOrder>7</b:RefOrder>
  </b:Source>
  <b:Source>
    <b:Tag>XBR13</b:Tag>
    <b:SourceType>InternetSite</b:SourceType>
    <b:Guid>{5C82B125-A123-4513-8A59-93F49938D570}</b:Guid>
    <b:Author>
      <b:Author>
        <b:Corporate>XBRL Europe</b:Corporate>
      </b:Author>
    </b:Author>
    <b:Title>xEBR Taxonomy</b:Title>
    <b:InternetSiteTitle>XBRL Europe</b:InternetSiteTitle>
    <b:Year>2013</b:Year>
    <b:YearAccessed>2014</b:YearAccessed>
    <b:MonthAccessed>January</b:MonthAccessed>
    <b:DayAccessed>29</b:DayAccessed>
    <b:URL>http://www.xbrleurope.org/working-groups/xebr-wg/xebr-taxonomy</b:URL>
    <b:RefOrder>8</b:RefOrder>
  </b:Source>
  <b:Source>
    <b:Tag>CEB05XBRL</b:Tag>
    <b:SourceType>InternetSite</b:SourceType>
    <b:Guid>{48F6CF73-5EA7-4DE4-9F1F-276704F576E8}</b:Guid>
    <b:LCID>0</b:LCID>
    <b:Author>
      <b:Author>
        <b:NameList>
          <b:Person>
            <b:Last>CEBS</b:Last>
          </b:Person>
        </b:NameList>
      </b:Author>
    </b:Author>
    <b:Title>European banking supervisors support the adoption of digital reporting</b:Title>
    <b:Year>2005</b:Year>
    <b:Month>June</b:Month>
    <b:Day>7</b:Day>
    <b:YearAccessed>2014</b:YearAccessed>
    <b:MonthAccessed>January</b:MonthAccessed>
    <b:DayAccessed>30</b:DayAccessed>
    <b:URL>http://www.eba.europa.eu/-/european-banking-supervisors-support-the-adoption-of-digital-reporting</b:URL>
    <b:RefOrder>9</b:RefOrder>
  </b:Source>
  <b:Source>
    <b:Tag>EBA13</b:Tag>
    <b:SourceType>Report</b:SourceType>
    <b:Guid>{7DD9E7DF-A724-4881-BBC6-8AD57D2B8E63}</b:Guid>
    <b:Author>
      <b:Author>
        <b:Corporate>EBA</b:Corporate>
      </b:Author>
    </b:Author>
    <b:Title>COREP/FINREP XBRL Taxonomy v2.0.0</b:Title>
    <b:Year>2013</b:Year>
    <b:Publisher>EBA</b:Publisher>
    <b:RefOrder>10</b:RefOrder>
  </b:Source>
  <b:Source>
    <b:Tag>Abo14</b:Tag>
    <b:SourceType>InternetSite</b:SourceType>
    <b:Guid>{2FC2F379-0E06-437C-8A7C-2CBA9BD2CC32}</b:Guid>
    <b:LCID>0</b:LCID>
    <b:Title>Eurofiling, about us</b:Title>
    <b:YearAccessed>2014</b:YearAccessed>
    <b:MonthAccessed>January</b:MonthAccessed>
    <b:DayAccessed>30</b:DayAccessed>
    <b:URL>http://www.eurofiling.info/about_us/about_us.shtml</b:URL>
    <b:RefOrder>11</b:RefOrder>
  </b:Source>
  <b:Source>
    <b:Tag>Eur111</b:Tag>
    <b:SourceType>InternetSite</b:SourceType>
    <b:Guid>{0AADF71E-B1EB-4350-BA49-7EC0B5C75F85}</b:Guid>
    <b:Title>Legal Notice</b:Title>
    <b:Year>2011</b:Year>
    <b:Author>
      <b:Author>
        <b:Corporate>Eurofiling Initiative</b:Corporate>
      </b:Author>
    </b:Author>
    <b:InternetSiteTitle>Eurofiling Initiative</b:InternetSiteTitle>
    <b:YearAccessed>2014</b:YearAccessed>
    <b:MonthAccessed>January</b:MonthAccessed>
    <b:DayAccessed>27</b:DayAccessed>
    <b:URL>http://www.eurofiling.info/legal.shtml</b:URL>
    <b:RefOrder>12</b:RefOrder>
  </b:Source>
  <b:Source>
    <b:Tag>CEN13</b:Tag>
    <b:SourceType>Report</b:SourceType>
    <b:Guid>{CF263603-36F5-444D-8F0C-D10B47EAA546}</b:Guid>
    <b:Title>Improving transparency in financial and business reporting - Harmonisation topics - Part 1: European data point methodology for supervisory report</b:Title>
    <b:Year>2013</b:Year>
    <b:Author>
      <b:Author>
        <b:Corporate>CEN/WS XBRL</b:Corporate>
      </b:Author>
    </b:Author>
    <b:RefOrder>13</b:RefOrder>
  </b:Source>
  <b:Source>
    <b:Tag>Owe13</b:Tag>
    <b:SourceType>InternetSite</b:SourceType>
    <b:Guid>{F111176E-B997-494A-89B0-872F5FE1462E}</b:Guid>
    <b:LCID>0</b:LCID>
    <b:Author>
      <b:Author>
        <b:NameList>
          <b:Person>
            <b:Last>Jones</b:Last>
            <b:First>Owen</b:First>
          </b:Person>
        </b:NameList>
      </b:Author>
    </b:Author>
    <b:Title>EBA Taxonomy and DPM Architect</b:Title>
    <b:Year>2013</b:Year>
    <b:Month>December</b:Month>
    <b:Day>10</b:Day>
    <b:YearAccessed>2014</b:YearAccessed>
    <b:MonthAccessed>January</b:MonthAccessed>
    <b:DayAccessed>30</b:DayAccessed>
    <b:URL>http://www.eurofiling.info/201312/presentations/20131210TaxonomyOwenJones.pptx</b:URL>
    <b:RefOrder>14</b:RefOrder>
  </b:Source>
  <b:Source>
    <b:Tag>XBR14</b:Tag>
    <b:SourceType>InternetSite</b:SourceType>
    <b:Guid>{C1E1E76F-3719-4651-A1F2-103A58241501}</b:Guid>
    <b:LCID>0</b:LCID>
    <b:Title>XBRL Specification</b:Title>
    <b:YearAccessed>2014</b:YearAccessed>
    <b:MonthAccessed>January</b:MonthAccessed>
    <b:DayAccessed>30</b:DayAccessed>
    <b:URL>http://xbrl.org/TheStandard</b:URL>
    <b:RefOrder>15</b:RefOrder>
  </b:Source>
  <b:Source>
    <b:Tag>Eur140123</b:Tag>
    <b:SourceType>InternetSite</b:SourceType>
    <b:Guid>{2E49DA14-07EB-4842-86C8-53E1BB35F912}</b:Guid>
    <b:LCID>0</b:LCID>
    <b:Title>Eurofiling Minutes</b:Title>
    <b:Year>2014</b:Year>
    <b:Month>January</b:Month>
    <b:Day>23</b:Day>
    <b:YearAccessed>2014</b:YearAccessed>
    <b:MonthAccessed>January</b:MonthAccessed>
    <b:DayAccessed>30</b:DayAccessed>
    <b:RefOrder>16</b:RefOrder>
  </b:Source>
  <b:Source>
    <b:Tag>Wik14</b:Tag>
    <b:SourceType>InternetSite</b:SourceType>
    <b:Guid>{7B72ACA8-96CD-480F-8822-7688A1C1C6E1}</b:Guid>
    <b:LCID>0</b:LCID>
    <b:Title>WikiXBRL</b:Title>
    <b:YearAccessed>2014</b:YearAccessed>
    <b:MonthAccessed>January</b:MonthAccessed>
    <b:DayAccessed>30</b:DayAccessed>
    <b:URL>http://wikixbrl.info/index.php?title=XBRL_Industry_Solutions</b:URL>
    <b:RefOrder>17</b:RefOrder>
  </b:Source>
</b:Sources>
</file>

<file path=customXml/itemProps1.xml><?xml version="1.0" encoding="utf-8"?>
<ds:datastoreItem xmlns:ds="http://schemas.openxmlformats.org/officeDocument/2006/customXml" ds:itemID="{6F9FA37C-CC39-4549-85CD-6286FE29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2957</Words>
  <Characters>16857</Characters>
  <Application>Microsoft Office Word</Application>
  <DocSecurity>0</DocSecurity>
  <Lines>140</Lines>
  <Paragraphs>39</Paragraphs>
  <ScaleCrop>false</ScaleCrop>
  <Company>Banco de España</Company>
  <LinksUpToDate>false</LinksUpToDate>
  <CharactersWithSpaces>19775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infboi</dc:creator>
  <cp:lastModifiedBy>infboi</cp:lastModifiedBy>
  <cp:revision>1</cp:revision>
  <dcterms:created xsi:type="dcterms:W3CDTF">2014-01-29T19:59:00Z</dcterms:created>
  <dcterms:modified xsi:type="dcterms:W3CDTF">2014-01-29T20:03:00Z</dcterms:modified>
</cp:coreProperties>
</file>